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附件9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中国新闻奖系列（连续、组合）报道作品完整目录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3"/>
        <w:tblW w:w="55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出租车与公交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车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路权之争酿事故</w:t>
            </w: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3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单篇作品标题</w:t>
            </w:r>
          </w:p>
        </w:tc>
        <w:tc>
          <w:tcPr>
            <w:tcW w:w="450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526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字数/时长</w:t>
            </w:r>
          </w:p>
        </w:tc>
        <w:tc>
          <w:tcPr>
            <w:tcW w:w="827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刊播日期</w:t>
            </w:r>
          </w:p>
        </w:tc>
        <w:tc>
          <w:tcPr>
            <w:tcW w:w="528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323" w:type="pct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/>
                <w:bCs/>
                <w:sz w:val="21"/>
                <w:szCs w:val="21"/>
              </w:rPr>
              <w:t>网传出租车与公交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车</w:t>
            </w:r>
            <w:r>
              <w:rPr>
                <w:rFonts w:hint="eastAsia"/>
                <w:b/>
                <w:bCs/>
                <w:sz w:val="21"/>
                <w:szCs w:val="21"/>
              </w:rPr>
              <w:t>路权之争酿事故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45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新闻专题</w:t>
            </w:r>
          </w:p>
        </w:tc>
        <w:tc>
          <w:tcPr>
            <w:tcW w:w="526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950字/ 3分12秒</w:t>
            </w: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2019月12月24日 18点30分</w:t>
            </w:r>
          </w:p>
        </w:tc>
        <w:tc>
          <w:tcPr>
            <w:tcW w:w="528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新闻综合频道《聚焦民生》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代表作1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323" w:type="pct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/>
                <w:b/>
                <w:bCs/>
                <w:lang w:eastAsia="zh-CN"/>
              </w:rPr>
              <w:t>《权威发布：公汽公司首次对外披露当事车辆行车视频》</w:t>
            </w:r>
          </w:p>
        </w:tc>
        <w:tc>
          <w:tcPr>
            <w:tcW w:w="45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新闻专题</w:t>
            </w:r>
          </w:p>
        </w:tc>
        <w:tc>
          <w:tcPr>
            <w:tcW w:w="526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615字/ 1分46秒</w:t>
            </w: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2019年12月25日 18点30分</w:t>
            </w:r>
          </w:p>
        </w:tc>
        <w:tc>
          <w:tcPr>
            <w:tcW w:w="528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新闻综合频道《聚焦民生》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代表作2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323" w:type="pct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/>
                <w:bCs/>
                <w:sz w:val="21"/>
                <w:szCs w:val="21"/>
              </w:rPr>
              <w:t>的哥“路怒”别公交 被拘15天罚1000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45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新闻专题</w:t>
            </w:r>
            <w:bookmarkStart w:id="0" w:name="_GoBack"/>
            <w:bookmarkEnd w:id="0"/>
          </w:p>
        </w:tc>
        <w:tc>
          <w:tcPr>
            <w:tcW w:w="526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829字/ 2分40秒</w:t>
            </w: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2019年12月27日 18点30分</w:t>
            </w:r>
          </w:p>
        </w:tc>
        <w:tc>
          <w:tcPr>
            <w:tcW w:w="528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新闻综合频道《聚焦民生》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代表作3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</w:p>
          <w:p>
            <w:pPr>
              <w:snapToGrid w:val="0"/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E1EE3"/>
    <w:rsid w:val="02DD342A"/>
    <w:rsid w:val="113C076A"/>
    <w:rsid w:val="1B820BCE"/>
    <w:rsid w:val="40DE1EE3"/>
    <w:rsid w:val="63FB6D71"/>
    <w:rsid w:val="746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 w:eastAsia="zh-CN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2020-05-26T17:45:00Z</dcterms:created>
  <dc:creator>小宝珠</dc:creator>
  <cp:lastModifiedBy>李萌</cp:lastModifiedBy>
  <dcterms:modified xsi:type="dcterms:W3CDTF">2020-05-28T02:34:49Z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