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Style w:val="3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391"/>
        <w:gridCol w:w="2196"/>
        <w:gridCol w:w="95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作品标题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二月二|生产一线也是战“疫”一线 吉林这样抬龙头！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参评项目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全媒体传播效果突出作品（短视频专题报道）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王佳尧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郝杨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崔潇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于梦宇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金可红 费航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主管单位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吉林广播电视台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发布日期及时间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2020年2月24日</w:t>
            </w:r>
          </w:p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10时5分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发布平台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吉林广播网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作品时长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2分35秒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2020年2月下旬，吉林省疫情防控工作进入精准防控、统筹兼顾阶段，工业企业亟待复工复产。“三保一统筹”“七个到位”“六个必须”“六个坚持”……吉林省委省政府为统筹疫情防控，加快复工复产，坚决打赢疫情防控阻击战做出有力保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在抗击疫情、复工复产两条腿走路的关键时刻，该作品选取一汽集团、中车长客、吉林敖东等六家省内重要企业，展示它们工厂车间内机器轰鸣、生产线高速运转、工人们在消了毒的车间内戴着口罩加紧生产的忙碌景象，提振了吉林人民一手抓防疫、一手抓发展的信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短视频于农历二月二当天上线推出，结合民俗传统“龙抬头”，点明吉林省企业正擎起疫情防控与复工复产两条“龙”，“舞”出吉林风采的主题。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此作品在吉林省疫情防控进入精准防控、统筹兼顾、工业企业亟待复工复产阶段，并选择农历二月二“龙抬头”日上线推出，提振了吉林人民一手抓防疫、一手抓发展的信心。作品推出后受到社会各界人士的点赞喜爱，上线当天播放量即超过10万次，随即被吉林省范围内主流媒体、新媒体账号广泛转发转载，总计影响力百万+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2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全媒体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传播实效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此作品创作于2020年复工复产重要阶段，吉林广播网五组记者分赴吉林省长春市、吉林市、松原市、延边州等地，走访重点企业，竖屏记录采访画面，配发彩色和放大字幕突出主题，最终提炼出“安全有序，复工复产。龙腾虎跃，未来可期”的金句，极大提振了吉林人民抗击疫情发展经济的信心。</w:t>
            </w:r>
          </w:p>
          <w:p>
            <w:pPr>
              <w:ind w:firstLine="420" w:firstLineChars="200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作品经吉林广播网网站、微信、官方抖音、吉林人民广播电台微博首发推送，被大量网络用户点赞、分享、转发，不仅对企业生产起到鼓舞士气作用，还在全省范围内形成广泛影响，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数万网友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val="en-US" w:eastAsia="zh-CN"/>
              </w:rPr>
              <w:t>在各平台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留言，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val="en-US" w:eastAsia="zh-CN"/>
              </w:rPr>
              <w:t>为企业复工复产加油鼓劲。网友武山可馨说：“陆陆续续终于复工了，大家一定要戴好口罩，安全第一。”网友一心之人说：“虽然疫情还没结束，但我们看到了一切都在向好的方向发展。”。作品</w:t>
            </w: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总计影响力超过百万。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一边抓防疫，一边抓生产，两手都要抓，两手都要硬。作品抓住这一紧张时刻，主题重大，提振人心，时效性强，节奏明快，制作精良，竖屏拍摄，符合手机端的阅读习惯，是一部优秀的短视频作品。</w:t>
            </w:r>
          </w:p>
          <w:p>
            <w:pPr>
              <w:spacing w:line="380" w:lineRule="exact"/>
              <w:ind w:firstLine="480"/>
              <w:jc w:val="both"/>
              <w:rPr>
                <w:rFonts w:ascii="华文中宋" w:hAnsi="华文中宋" w:eastAsia="华文中宋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Times New Roman"/>
                <w:sz w:val="21"/>
                <w:szCs w:val="21"/>
              </w:rPr>
              <w:t xml:space="preserve">签名：                          </w:t>
            </w:r>
            <w:r>
              <w:rPr>
                <w:rFonts w:hint="eastAsia" w:ascii="华文中宋" w:hAnsi="华文中宋" w:eastAsia="华文中宋" w:cs="Times New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 w:cs="Times New Roman"/>
                <w:sz w:val="21"/>
                <w:szCs w:val="21"/>
              </w:rPr>
              <w:t>（盖单位公章）</w:t>
            </w:r>
          </w:p>
          <w:p>
            <w:pPr>
              <w:spacing w:line="38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sz w:val="21"/>
                <w:szCs w:val="21"/>
              </w:rPr>
              <w:t xml:space="preserve">                               </w:t>
            </w:r>
            <w:r>
              <w:rPr>
                <w:rFonts w:ascii="华文中宋" w:hAnsi="华文中宋" w:eastAsia="华文中宋" w:cs="Times New Roman"/>
                <w:sz w:val="21"/>
                <w:szCs w:val="21"/>
              </w:rPr>
              <w:t>20</w:t>
            </w:r>
            <w:r>
              <w:rPr>
                <w:rFonts w:hint="eastAsia" w:ascii="华文中宋" w:hAnsi="华文中宋" w:eastAsia="华文中宋" w:cs="Times New Roman"/>
                <w:sz w:val="21"/>
                <w:szCs w:val="21"/>
              </w:rPr>
              <w:t>2</w:t>
            </w:r>
            <w:r>
              <w:rPr>
                <w:rFonts w:ascii="华文中宋" w:hAnsi="华文中宋" w:eastAsia="华文中宋" w:cs="Times New Roman"/>
                <w:sz w:val="21"/>
                <w:szCs w:val="21"/>
              </w:rPr>
              <w:t>1年</w:t>
            </w:r>
            <w:r>
              <w:rPr>
                <w:rFonts w:hint="eastAsia" w:ascii="华文中宋" w:hAnsi="华文中宋" w:eastAsia="华文中宋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 w:cs="Times New Roman"/>
                <w:sz w:val="21"/>
                <w:szCs w:val="21"/>
              </w:rPr>
              <w:t>月</w:t>
            </w:r>
            <w:r>
              <w:rPr>
                <w:rFonts w:hint="eastAsia" w:ascii="华文中宋" w:hAnsi="华文中宋" w:eastAsia="华文中宋" w:cs="Times New Roman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华文中宋" w:hAnsi="华文中宋" w:eastAsia="华文中宋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郝杨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邮箱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350754967@qq.com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13039138088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地址</w:t>
            </w:r>
          </w:p>
        </w:tc>
        <w:tc>
          <w:tcPr>
            <w:tcW w:w="294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吉林省长春市卫星路2066号</w:t>
            </w:r>
          </w:p>
        </w:tc>
        <w:tc>
          <w:tcPr>
            <w:tcW w:w="21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邮编</w:t>
            </w:r>
          </w:p>
        </w:tc>
        <w:tc>
          <w:tcPr>
            <w:tcW w:w="24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130033</w:t>
            </w:r>
          </w:p>
        </w:tc>
      </w:tr>
    </w:tbl>
    <w:p/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作品二维码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276475" cy="2276475"/>
            <wp:effectExtent l="0" t="0" r="0" b="0"/>
            <wp:docPr id="1" name="图片 1" descr="二月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月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Calibri" w:hAnsi="Calibri" w:eastAsia="宋体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sz w:val="32"/>
          <w:szCs w:val="32"/>
          <w:lang w:eastAsia="zh-CN"/>
        </w:rPr>
      </w:pPr>
    </w:p>
    <w:p>
      <w:pPr>
        <w:jc w:val="both"/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  <w:lang w:eastAsia="zh-CN"/>
        </w:rPr>
        <w:t>二月二 | 生产一线也是战“疫”一线 吉林这样抬龙头！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包装字幕：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一汽集团——产销总量行业第一阵营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中车长客——世界水平客车制造企业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吉林敖东——国家医药百强企业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益海嘉里——世界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500强旗下粮油生产企业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博大生化——国内最大食用酒精企业主力公司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鸿翔种业——中国种业前三名</w:t>
      </w:r>
    </w:p>
    <w:p>
      <w:pPr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二月二——吉林这样抬龙头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目前，一汽集团已全面复产。测温登记，防护消毒。2月22日，红旗HS5生产线实现单日产量300辆。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2月10日，中车长客复工。信息每日上报，实时掌握进展。复工第二周，按期交付澳大利亚地铁列车。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吉林敖东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同期声：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吉林敖东延边药业股份有限公司固体车间主任孙萍萍：“我们从1月31日开始复工生产，目前生产的维C泡腾片日产能为44万片，板蓝根颗粒日产能为55万袋。”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包装字幕：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实时监测，定时消杀。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益海嘉里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同期声：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益海嘉里白城粮油食品工业有限公司安全负责人孟宪凯：“作为粮食储备和保证疫情期间粮油市场的供应，目前，我们工厂的产能已经达到了75%。每天以火车的形式发往北京、武汉、成都、重庆等地。”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包装字幕：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疫情防控培训，逐人逐条落实。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博大生化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为抗击疫情转型生产液体消毒剂。至2月18日，累计生产消毒剂445.6吨。厂区定时消毒，口罩手套配给。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同期声：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博大生化生产二车间脱坯预榨班长李洪伟：“我们就是能使多大劲使多大劲，为国家献出自己一点微薄之力。”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包装字幕：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鸿翔种业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同期声：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鸿翔种业扶余加工中心厂长张喜来：“目前已经恢复60%的产能，预计2月末可以实现95%以上的产能。日产20万袋玉米种子，满足农民朋友备春耕的购种需求。复工复产的同时严格执行疫情防控制度，做好消毒、体温监测等工作。”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包装字幕：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截至2月19日，吉林省产值排在前50位的重点监测企业已有49户复产，500户重点调度企业已有411户复产，复产率达85.6%。一汽集团全面复产，吉林省内规模以上汽车零部件生产企业复产率达到82%。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安全有序，复工复产。龙腾虎跃，未来可期。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0729D"/>
    <w:rsid w:val="097051A7"/>
    <w:rsid w:val="0BBC2CAF"/>
    <w:rsid w:val="0E95344F"/>
    <w:rsid w:val="2BEA3351"/>
    <w:rsid w:val="2C2A02AB"/>
    <w:rsid w:val="33C0070F"/>
    <w:rsid w:val="42915084"/>
    <w:rsid w:val="49791802"/>
    <w:rsid w:val="4D916DC9"/>
    <w:rsid w:val="52747BD2"/>
    <w:rsid w:val="6EF0729D"/>
    <w:rsid w:val="7A2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2021-04-24T02:05:00Z</dcterms:created>
  <dc:creator>hao198612</dc:creator>
  <cp:lastModifiedBy>嘵哆啦</cp:lastModifiedBy>
  <cp:lastPrinted>2021-04-25T01:25:22Z</cp:lastPrinted>
  <dcterms:modified xsi:type="dcterms:W3CDTF">2021-04-25T01:27:22Z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D24D148ABAB2497FA81D3D1E6157763F</vt:lpwstr>
  </property>
</Properties>
</file>