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51" w:rsidRPr="00D95851" w:rsidRDefault="00D95851" w:rsidP="00D95851">
      <w:pPr>
        <w:pStyle w:val="a3"/>
        <w:shd w:val="clear" w:color="auto" w:fill="FFFFFF"/>
        <w:spacing w:before="150" w:beforeAutospacing="0" w:after="150" w:afterAutospacing="0" w:line="405" w:lineRule="atLeast"/>
        <w:jc w:val="center"/>
        <w:rPr>
          <w:rFonts w:ascii="黑体" w:eastAsia="黑体" w:hAnsi="黑体"/>
          <w:color w:val="373535"/>
          <w:sz w:val="48"/>
          <w:szCs w:val="48"/>
        </w:rPr>
      </w:pPr>
      <w:r w:rsidRPr="00D95851">
        <w:rPr>
          <w:rFonts w:ascii="黑体" w:eastAsia="黑体" w:hAnsi="黑体" w:hint="eastAsia"/>
          <w:color w:val="373535"/>
          <w:sz w:val="48"/>
          <w:szCs w:val="48"/>
        </w:rPr>
        <w:t>亮丽风景映春城</w:t>
      </w:r>
    </w:p>
    <w:p w:rsidR="00D95851" w:rsidRDefault="00D95851" w:rsidP="00D95851">
      <w:pPr>
        <w:pStyle w:val="a3"/>
        <w:shd w:val="clear" w:color="auto" w:fill="FFFFFF"/>
        <w:spacing w:before="150" w:beforeAutospacing="0" w:after="150" w:afterAutospacing="0" w:line="405" w:lineRule="atLeast"/>
        <w:ind w:right="1120" w:firstLineChars="100" w:firstLine="280"/>
        <w:jc w:val="right"/>
        <w:rPr>
          <w:rFonts w:ascii="黑体" w:eastAsia="黑体" w:hAnsi="黑体"/>
          <w:color w:val="373535"/>
          <w:sz w:val="28"/>
          <w:szCs w:val="28"/>
        </w:rPr>
      </w:pPr>
      <w:r w:rsidRPr="00D95851">
        <w:rPr>
          <w:rFonts w:ascii="黑体" w:eastAsia="黑体" w:hAnsi="黑体" w:hint="eastAsia"/>
          <w:color w:val="373535"/>
          <w:sz w:val="28"/>
          <w:szCs w:val="28"/>
        </w:rPr>
        <w:t>——长春市落实“一主六双”高质量发展战略纪实之一</w:t>
      </w:r>
    </w:p>
    <w:p w:rsidR="00D95851" w:rsidRPr="00D95851" w:rsidRDefault="00D95851" w:rsidP="00D95851">
      <w:pPr>
        <w:pStyle w:val="a3"/>
        <w:shd w:val="clear" w:color="auto" w:fill="FFFFFF"/>
        <w:spacing w:before="150" w:beforeAutospacing="0" w:after="150" w:afterAutospacing="0" w:line="405" w:lineRule="atLeast"/>
        <w:ind w:right="1120" w:firstLineChars="100" w:firstLine="280"/>
        <w:jc w:val="center"/>
        <w:rPr>
          <w:rFonts w:ascii="楷体" w:eastAsia="楷体" w:hAnsi="楷体"/>
          <w:color w:val="373535"/>
          <w:sz w:val="28"/>
          <w:szCs w:val="28"/>
        </w:rPr>
      </w:pPr>
      <w:r w:rsidRPr="00D95851">
        <w:rPr>
          <w:rFonts w:ascii="楷体" w:eastAsia="楷体" w:hAnsi="楷体" w:hint="eastAsia"/>
          <w:color w:val="373535"/>
          <w:sz w:val="28"/>
          <w:szCs w:val="28"/>
        </w:rPr>
        <w:t>本报记者</w:t>
      </w:r>
      <w:r w:rsidRPr="00D95851">
        <w:rPr>
          <w:rFonts w:ascii="楷体" w:eastAsia="楷体" w:hAnsi="楷体"/>
          <w:color w:val="373535"/>
          <w:sz w:val="28"/>
          <w:szCs w:val="28"/>
        </w:rPr>
        <w:t xml:space="preserve"> 刘泉波 栾哲 华泰来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right="1120" w:firstLineChars="100" w:firstLine="211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东北振兴、吉林振兴，始终牵动着习近平总书记的心。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2020年7月，总书记视察吉林时强调，要切实落实党中央决策部署，在服务党和国家工作全局中体现新担当，在走出一条质量更高、效益更好、结构更优、优势充分释放的发展新路上实现新突破，在加快推动新时代吉林全面振兴全方位振兴的征程上展现新作为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殷殷嘱托就是吉林人民的行动所向。对标对表总书记视察吉林重要讲话重要指示精神，立足吉林实际，顺应发展需要，提出“两确保一率先”目标，以“一主六双”高质量发展战略勾勒出吉林振兴长春振兴的新前景、新路径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省委、省政府高度重视长春振兴，省委书记景俊海到吉林工作后，先后到长春调研指导160多次，省长韩俊到吉林工作后调研指导90多次，对长春振兴、带动全省振兴寄予厚望。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汽车产业，高端装备、光电信息、农产品加工、能源产业，生物与医药、新材料、现代金融、科创服务、文化旅游、现代物流等新兴产业，数字经济核心产业……无数产业如涓涓细流，与长春产生不间断的化学反应，渐成蓬勃之势，再回流到全省各地发展的洪流中，激荡、碰撞出新动能、新业态、新气象。以建设长春现代化都市圈为引领，进行辐射、主导、互通、带动，这些功能长春无可替代，扛起“一主”重任，发挥“六双”功能，长春风头正盛，正在成为吉林迈向高质量发展的坚实支撑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2020年全省实现地区生产总值12311.32亿元，长春市实现地区生产总值6638.03亿元，占全省的53.91%。吉林振兴，依靠长春振兴，长春振兴引领带动其他市州振兴，实现吉林全省振兴。</w:t>
      </w:r>
    </w:p>
    <w:p w:rsidR="00E56133" w:rsidRPr="00211D78" w:rsidRDefault="00E56133" w:rsidP="00211D78">
      <w:pPr>
        <w:pStyle w:val="a3"/>
        <w:shd w:val="clear" w:color="auto" w:fill="FFFFFF"/>
        <w:spacing w:beforeLines="50" w:beforeAutospacing="0" w:afterLines="50" w:afterAutospacing="0" w:line="360" w:lineRule="exact"/>
        <w:ind w:firstLine="482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211D78">
        <w:rPr>
          <w:rFonts w:ascii="华文中宋" w:eastAsia="华文中宋" w:hAnsi="华文中宋" w:hint="eastAsia"/>
          <w:b/>
          <w:color w:val="373535"/>
          <w:sz w:val="28"/>
          <w:szCs w:val="28"/>
        </w:rPr>
        <w:t>政通——</w:t>
      </w:r>
    </w:p>
    <w:p w:rsidR="00E56133" w:rsidRPr="00211D78" w:rsidRDefault="00E56133" w:rsidP="00211D78">
      <w:pPr>
        <w:pStyle w:val="a3"/>
        <w:shd w:val="clear" w:color="auto" w:fill="FFFFFF"/>
        <w:spacing w:beforeLines="50" w:beforeAutospacing="0" w:afterLines="50" w:afterAutospacing="0" w:line="360" w:lineRule="exact"/>
        <w:ind w:firstLine="482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211D78">
        <w:rPr>
          <w:rFonts w:ascii="华文中宋" w:eastAsia="华文中宋" w:hAnsi="华文中宋" w:hint="eastAsia"/>
          <w:b/>
          <w:color w:val="373535"/>
          <w:sz w:val="28"/>
          <w:szCs w:val="28"/>
        </w:rPr>
        <w:t>坚决扛起“一主”重任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7月31日，吉林省委十一届九次全会召开两天后，长春市委召开十三届十一次全体会议。“一主六双”高质量发展战略长春时间表、战线图重磅推出——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坚决扛起“一主”担当，发挥长春高质量发展重要引擎作用；聚力长春现代化都市圈建设，做大做强中心城市，构建“一核、两翼、三圈、多带”空间布局，拉开发展框架、拓展战略纵深、壮大规模总量、强化辐射带动，形成东北亚区域极具影响力的经济板块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lastRenderedPageBreak/>
        <w:t>打造创新引领“主导区”、先进制造“主阵地”、现代农业“主战场”、新兴消费“主引擎”、改革开放“主动力”、人才集聚“主基地”；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加快构建“六双”格局，发挥长春优势，主动融入对接，提升产业集聚能力、构建“双廊”发展核心，提升服务保障能力、构建“双带”支撑腹地，提升文旅联动能力、构建“双线”集散中心，提升对外联通能力、构建“双通道”战略支点，提升创新发展能力、构建“双基地”前沿阵地，提升区域协同能力、构建“双协同”联动机制，加快高质量发展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这是长春对“一主六双”高质量发展战略的快速反应，更是针对自身发展特点的深刻认知。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聚焦“两确保一率先”目标，以建设长春现代化都市圈为统领，促进经济持续恢复、稳中向好、韧性增强，长春市上半年地区生产总值增长11.5%，固定资产投资增长15.1%，地方级财政收入增长30.7%，领跑东北四市。数字背后，彰显的是长春的发展底气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交通运输设备制造业，粮食和农副产品加工业和高新技术产业，是长春的三大传统支柱产业。长春的这些产业优势，与我省打造汽车、农产品加工和食品、旅游3个万亿级产业集群，一脉相承，息息相关。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长春担当“一主”重任，是历史的延续，也是时代的选择，全省的期盼。省委常委、长春市委书记张志军强调，要紧盯“两确保一率先”和“三个高于”目标，全力以赴稳增长、保预期，加工助企服务力度，打好经济攻坚战；全力以赴抓投资、上项目，迅速掀起项目建设热潮，形成更多实物工作量；全力以赴提消费、挖潜力，精准施策刺激消费，推动服务业提质增效；全力以赴抓招商、促合作，生成更多大项目好项目，厚植发展动能。要坚定信心、鼓足干劲，攻坚克难、比学赶超，以“五化”工作法，推动各项任务落地见效，千方百计把好势头巩固好、发展好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结构变化可以造就神奇，让石墨化为璀璨的钻石。在“一主六双”高质量发展战略中，长春是变革与调整的“破局先锋”，打破我省旧有产业结构固化的桎梏，释放更强大的发展活力。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常住人口超千万、经济总量超万亿，这是长春结合自身发展条件制定的目标。随着不断推进资源整合与再造，不断推进产业隆起和项目建设，不断推进体制机制创新，不断推进协同联动一体化；随着建设进程的进一步加快、质量的进一步提升，长春的发展势能必将源源不断地得以释放，在“一主六双”高质量发展战略中的枢纽作用愈发得以凸现。</w:t>
      </w:r>
    </w:p>
    <w:p w:rsidR="00E56133" w:rsidRPr="00781189" w:rsidRDefault="00E56133" w:rsidP="00781189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781189">
        <w:rPr>
          <w:rFonts w:ascii="华文中宋" w:eastAsia="华文中宋" w:hAnsi="华文中宋" w:hint="eastAsia"/>
          <w:b/>
          <w:color w:val="373535"/>
          <w:sz w:val="28"/>
          <w:szCs w:val="28"/>
        </w:rPr>
        <w:t>谋远——</w:t>
      </w:r>
    </w:p>
    <w:p w:rsidR="00E56133" w:rsidRPr="00781189" w:rsidRDefault="00E56133" w:rsidP="00781189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781189">
        <w:rPr>
          <w:rFonts w:ascii="华文中宋" w:eastAsia="华文中宋" w:hAnsi="华文中宋" w:hint="eastAsia"/>
          <w:b/>
          <w:color w:val="373535"/>
          <w:sz w:val="28"/>
          <w:szCs w:val="28"/>
        </w:rPr>
        <w:t>带动“六双”赋予发展新动能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善弈者谋势，善谋者致远。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长春全面加快现代化都市圈建设，突出改革创新、三产融合、四化同步、区域协同，不断增强“一主”的核心竞争力和辐射带动力，努力争当经济建设的“排头兵”、动能转</w:t>
      </w:r>
      <w:r w:rsidRPr="00211D78">
        <w:rPr>
          <w:rFonts w:hint="eastAsia"/>
          <w:b/>
          <w:color w:val="373535"/>
          <w:sz w:val="21"/>
          <w:szCs w:val="21"/>
        </w:rPr>
        <w:lastRenderedPageBreak/>
        <w:t xml:space="preserve">换的“领头羊”、特大型现代化城市的“先行者”、改革开放的“新标杆”、辐射带动的“新高地”。这是对吉林省“一主六双”高质量发展战略的具体落实。　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汽车产业，是长春市、吉林省振兴发展的“领头羊、压舱石、金名片”，在“一主六双”高质量发展战略中举足轻重。全省全市支持一汽，坚定支持一汽做强做优做大，就是在为吉林汽车产业谋划万亿级未来。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以优势产业支撑“双廊”，长春瞄准工业产业走廊，造就了一片最适宜汽车产业的发展沃土。红旗新能源工厂20万辆已经投产，奥迪新能源PPE15万辆、红旗丝尔科跑车、比亚迪动力电池、玲珑轮胎等一大批重大项目先后落位，大幅提升了长春汽车产业规模和技术水平，加速产业链强链补链，也为一汽和我省汽车产业“预定”了下个十年的发展空间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这只是长春构建“六双”的一个剪影，在“六双”布局中，长春还有更大的谋划。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——构建“双廊”核心，在支撑现代产业体系中作表率。推动“双廊”提档升级，带动全省产业空间布局重塑、战略竞争优势重构；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——助力“双带”跃升，在服务国家战略中做强腹地。到2025年，东北亚区域合作枢纽、长吉图开发开放作用日益彰显，粮食综合生产能力达到260亿斤；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——构筑“双线”支点，在提升生态旅游品质中创一流。全面践行“两山”理论，为建设冰雪旅游强省、避暑休闲名省、新兴旅居大省提供支撑。到2025年，文旅产业总收入力争突破3000亿元；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——打造“双通道”枢纽，在融入新发展格局中当先锋。立足长春区位优势和在全省的交通枢纽地位，统筹推进航空、铁路、公路、港口等交通基础设施建设，构建内联外扩、通江达海的开放新格局；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激发“双基地”动能，在高质量发展中率先突破。牢牢把握创新发展和能源安全主动权，充分发挥“长春—松原—白城氢能走廊”的消费区作用，着力抓好长春国家级创新创业基础建设，加快构建全链条创新体系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——主导“双协同”联动，在区域协调发展中凝聚合力。统筹谋划长吉、长平一体化协同发展空间布局，有序推进城镇、产业、生态协调发展，探索建立有效的区域联动模式，不断增强优势区域能级和辐射带动能力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落实“一主六双”高质量发展战略，重点在于抓规划、抓衔接、抓落地。长春市市长王子联表示，要加强与各市州生产要素和环境容纳优势高效叠加、协同发展。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随着“一主六双”升级为高质量发展战略，长春与我省其他城市的合作步伐加快——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8月18日，长春新区与松原市签署战略合作框架协议，推进区域协同发展，筑牢共同振兴基础；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8月19日，长春市、延边州共同签订《省内协作框架协议》，推动两地在更广范围、更宽领域深化合作，共同打造省内协作标杆典范；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lastRenderedPageBreak/>
        <w:t>8月23日，省委常委、长春市委书记张志军一行赴吉林市开展对接合作，共同推进长吉一体化协同发展；8月24日，又率队到辽源市开展对接合作，共促两市产业链创新链协同发展……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目前，长春市5个国家级开发区已与各地形成了19组对接合作关系，54名干部相互挂职交流，谋划合作项目184个，总投资达3587亿元。在今年全省春季项目集中开工活动中，有42个对接合作项目开工建设，总投资640亿元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中韩（长春）国际合作示范区引入韩亚银行，组建百亿级的产业发展母基金，创新拓展产业融资渠道，加快推动一批中韩合作重大项目洽谈落位。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以“一主六双”高质量发展战略指引，长春的发展释放出前所未有的张力，向全省经济辐射出热量与活力，激发出源源不断的内生动力。</w:t>
      </w:r>
    </w:p>
    <w:p w:rsidR="00E56133" w:rsidRPr="00781189" w:rsidRDefault="00E56133" w:rsidP="00781189">
      <w:pPr>
        <w:pStyle w:val="a3"/>
        <w:shd w:val="clear" w:color="auto" w:fill="FFFFFF"/>
        <w:spacing w:beforeLines="50" w:beforeAutospacing="0" w:afterLines="50" w:afterAutospacing="0" w:line="360" w:lineRule="exact"/>
        <w:ind w:firstLine="482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781189">
        <w:rPr>
          <w:rFonts w:ascii="华文中宋" w:eastAsia="华文中宋" w:hAnsi="华文中宋" w:hint="eastAsia"/>
          <w:b/>
          <w:color w:val="373535"/>
          <w:sz w:val="28"/>
          <w:szCs w:val="28"/>
        </w:rPr>
        <w:t>人和——</w:t>
      </w:r>
    </w:p>
    <w:p w:rsidR="00E56133" w:rsidRPr="00781189" w:rsidRDefault="00E56133" w:rsidP="00781189">
      <w:pPr>
        <w:pStyle w:val="a3"/>
        <w:shd w:val="clear" w:color="auto" w:fill="FFFFFF"/>
        <w:spacing w:beforeLines="50" w:beforeAutospacing="0" w:afterLines="50" w:afterAutospacing="0" w:line="360" w:lineRule="exact"/>
        <w:ind w:firstLine="482"/>
        <w:jc w:val="center"/>
        <w:rPr>
          <w:rFonts w:ascii="华文中宋" w:eastAsia="华文中宋" w:hAnsi="华文中宋"/>
          <w:b/>
          <w:color w:val="373535"/>
          <w:sz w:val="28"/>
          <w:szCs w:val="28"/>
        </w:rPr>
      </w:pPr>
      <w:r w:rsidRPr="00781189">
        <w:rPr>
          <w:rFonts w:ascii="华文中宋" w:eastAsia="华文中宋" w:hAnsi="华文中宋" w:hint="eastAsia"/>
          <w:b/>
          <w:color w:val="373535"/>
          <w:sz w:val="28"/>
          <w:szCs w:val="28"/>
        </w:rPr>
        <w:t>强劲发展势头尽显“长春优势”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区域发展势头，战略投资者嗅觉最为灵敏。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深商控股领头的600亿元红旗基金、投资200亿元的万达长春国际影都、投资79亿元的一汽红旗新能源工厂、投资66亿元的华润中心、投资48.93亿元的玲珑轮胎……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一个个重大项目，为长春现代化都市圈建设投下了信任票。投资高度活跃背后，投资者们看到了怎样的“长春优势”？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投资48.93亿元的玲珑轮胎年产1420万条轮胎项目，是去年长春单体投资最大的汽车零部件项目之一，该项目从首次洽谈到签约仅用112天，创玲珑轮胎对外投资效率新纪录；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一汽红旗新能源汽车工厂仅用14个半月时间就完成从虚拟工厂设计到建成实际工厂的跨越，预计到正式投产建设周期仅为18.5个月。一汽解放J7智能工厂创造了当年立项、当年开工、当年暖封闭的新纪录；锚定长春科教人才优势，5位两院院士携项目入驻院士长春创业园；海容广场项目投资50亿元打造双创基地；华为联手吉林大学设立长春研究所；锚定长春影视资源优势，万达集团在长春投资200亿元建设东北亚最大数字影视基地；锚定长春丰富农业资源优势，一批农产品深加工、新材料、循环经济项目落位长春……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大项目纷纷落地，意味着强大的产业链条和广阔的发展空间；惊人的推进效率，展现了一个区域的发展定力与优质的营商环境。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在长春，以提高服务效能、创造更优营商环境为目标的改革，涵盖了体制、机制、政策、审批、要素等多个环节。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简化审批环节压时限、贴心服务纾困解难、低风险工业项目“拿地即开工”、不动产登记“交房即办证”……锁定“进入全国营商环境第一方阵”目标，长春市不断深化“放管服”改革，重点领域改革落地见效，企业群众办事创业更加便利，市场主体获得感、满</w:t>
      </w:r>
      <w:r w:rsidRPr="00211D78">
        <w:rPr>
          <w:rFonts w:hint="eastAsia"/>
          <w:b/>
          <w:color w:val="373535"/>
          <w:sz w:val="21"/>
          <w:szCs w:val="21"/>
        </w:rPr>
        <w:lastRenderedPageBreak/>
        <w:t>意度不断增强，优质的营商环境持续为经济发展助力。2020年中国营商环境评价中，长春获评营商环境提升最快的10个城市之一，长春新区在东北地区国家级新区中实现领跑。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今年上半年，长春市到位内资951.6亿元，同比增长26.6%。投资超过300亿元的一汽新能源汽车、投资100亿元的红旗跑车、巴斯夫东北地区总部等战略性项目快速落位。华为吉林区域总部及长春研究所、比亚迪动力电池等项目相继签约，将为长春和全省带来更加丰富的产业机遇，锚定巨大的未来发展空间。</w:t>
      </w:r>
    </w:p>
    <w:p w:rsidR="00E56133" w:rsidRPr="00211D78" w:rsidRDefault="00E56133" w:rsidP="00211D78">
      <w:pPr>
        <w:pStyle w:val="a3"/>
        <w:shd w:val="clear" w:color="auto" w:fill="FFFFFF"/>
        <w:spacing w:before="150" w:beforeAutospacing="0" w:after="150" w:afterAutospacing="0" w:line="360" w:lineRule="exact"/>
        <w:ind w:firstLine="480"/>
        <w:jc w:val="both"/>
        <w:rPr>
          <w:b/>
          <w:color w:val="373535"/>
          <w:sz w:val="21"/>
          <w:szCs w:val="21"/>
        </w:rPr>
      </w:pPr>
      <w:r w:rsidRPr="00211D78">
        <w:rPr>
          <w:rFonts w:hint="eastAsia"/>
          <w:b/>
          <w:color w:val="373535"/>
          <w:sz w:val="21"/>
          <w:szCs w:val="21"/>
        </w:rPr>
        <w:t>潮头知浪急，登高见云阔。长春正以前所未有的发展魄力，勇当全省排头兵，以开路先锋的姿态，扛起“一主”担当，融入构建“六双”格局，策马扬鞭，踏上新征程。</w:t>
      </w:r>
    </w:p>
    <w:p w:rsidR="00E56133" w:rsidRPr="00211D78" w:rsidRDefault="00E56133" w:rsidP="00211D78">
      <w:pPr>
        <w:spacing w:line="360" w:lineRule="exact"/>
        <w:rPr>
          <w:rFonts w:ascii="宋体" w:eastAsia="宋体" w:hAnsi="宋体"/>
          <w:b/>
          <w:szCs w:val="21"/>
        </w:rPr>
      </w:pPr>
    </w:p>
    <w:sectPr w:rsidR="00E56133" w:rsidRPr="00211D78" w:rsidSect="0081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133"/>
    <w:rsid w:val="00211D78"/>
    <w:rsid w:val="00781189"/>
    <w:rsid w:val="008132D8"/>
    <w:rsid w:val="00835737"/>
    <w:rsid w:val="00D95851"/>
    <w:rsid w:val="00E5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 Hua</dc:creator>
  <cp:keywords/>
  <dc:description/>
  <cp:lastModifiedBy>admin</cp:lastModifiedBy>
  <cp:revision>4</cp:revision>
  <dcterms:created xsi:type="dcterms:W3CDTF">2022-05-19T02:50:00Z</dcterms:created>
  <dcterms:modified xsi:type="dcterms:W3CDTF">2022-06-24T07:24:00Z</dcterms:modified>
</cp:coreProperties>
</file>