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51" w:rsidRPr="00244643" w:rsidRDefault="00244643" w:rsidP="00D95851">
      <w:pPr>
        <w:pStyle w:val="a3"/>
        <w:shd w:val="clear" w:color="auto" w:fill="FFFFFF"/>
        <w:spacing w:before="150" w:beforeAutospacing="0" w:after="150" w:afterAutospacing="0" w:line="405" w:lineRule="atLeast"/>
        <w:jc w:val="center"/>
        <w:rPr>
          <w:rFonts w:ascii="黑体" w:eastAsia="黑体" w:hAnsi="黑体"/>
          <w:color w:val="373535"/>
          <w:sz w:val="48"/>
          <w:szCs w:val="48"/>
        </w:rPr>
      </w:pPr>
      <w:r w:rsidRPr="00244643">
        <w:rPr>
          <w:rFonts w:ascii="黑体" w:eastAsia="黑体" w:hAnsi="黑体" w:hint="eastAsia"/>
          <w:color w:val="373535"/>
          <w:sz w:val="48"/>
          <w:szCs w:val="48"/>
        </w:rPr>
        <w:t>神采飞扬话“三产”</w:t>
      </w:r>
    </w:p>
    <w:p w:rsidR="00D95851" w:rsidRDefault="00D95851" w:rsidP="00D95851">
      <w:pPr>
        <w:pStyle w:val="a3"/>
        <w:shd w:val="clear" w:color="auto" w:fill="FFFFFF"/>
        <w:spacing w:before="150" w:beforeAutospacing="0" w:after="150" w:afterAutospacing="0" w:line="405" w:lineRule="atLeast"/>
        <w:ind w:right="1120" w:firstLineChars="100" w:firstLine="280"/>
        <w:jc w:val="right"/>
        <w:rPr>
          <w:rFonts w:ascii="黑体" w:eastAsia="黑体" w:hAnsi="黑体"/>
          <w:color w:val="373535"/>
          <w:sz w:val="28"/>
          <w:szCs w:val="28"/>
        </w:rPr>
      </w:pPr>
      <w:r w:rsidRPr="00D95851">
        <w:rPr>
          <w:rFonts w:ascii="黑体" w:eastAsia="黑体" w:hAnsi="黑体" w:hint="eastAsia"/>
          <w:color w:val="373535"/>
          <w:sz w:val="28"/>
          <w:szCs w:val="28"/>
        </w:rPr>
        <w:t>——长春市落实“一主六双”高质量发展战略纪实之</w:t>
      </w:r>
      <w:r w:rsidR="00244643">
        <w:rPr>
          <w:rFonts w:ascii="黑体" w:eastAsia="黑体" w:hAnsi="黑体" w:hint="eastAsia"/>
          <w:color w:val="373535"/>
          <w:sz w:val="28"/>
          <w:szCs w:val="28"/>
        </w:rPr>
        <w:t>二</w:t>
      </w:r>
    </w:p>
    <w:p w:rsidR="00D95851" w:rsidRPr="00AA087E" w:rsidRDefault="00AA087E" w:rsidP="00D95851">
      <w:pPr>
        <w:pStyle w:val="a3"/>
        <w:shd w:val="clear" w:color="auto" w:fill="FFFFFF"/>
        <w:spacing w:before="150" w:beforeAutospacing="0" w:after="150" w:afterAutospacing="0" w:line="405" w:lineRule="atLeast"/>
        <w:ind w:right="1120" w:firstLineChars="100" w:firstLine="280"/>
        <w:jc w:val="center"/>
        <w:rPr>
          <w:rFonts w:ascii="楷体" w:eastAsia="楷体" w:hAnsi="楷体"/>
          <w:color w:val="373535"/>
          <w:sz w:val="28"/>
          <w:szCs w:val="28"/>
        </w:rPr>
      </w:pPr>
      <w:r w:rsidRPr="00AA087E">
        <w:rPr>
          <w:rFonts w:ascii="楷体" w:eastAsia="楷体" w:hAnsi="楷体" w:hint="eastAsia"/>
          <w:color w:val="373535"/>
          <w:sz w:val="28"/>
          <w:szCs w:val="28"/>
        </w:rPr>
        <w:t>本报记者</w:t>
      </w:r>
      <w:r w:rsidRPr="00AA087E">
        <w:rPr>
          <w:rFonts w:ascii="楷体" w:eastAsia="楷体" w:hAnsi="楷体"/>
          <w:color w:val="373535"/>
          <w:sz w:val="28"/>
          <w:szCs w:val="28"/>
        </w:rPr>
        <w:t xml:space="preserve"> 刘泉波 万玮 杨晓艳</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秋风乍起，清爽怡人。走进长春，城市澎湃的活力令人振奋不已。</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城市商业综合体人流如织，“双创”基地遍地开花，金融、商贸、物流等产业千帆竞发，长春国际影都、长春东北亚国际博览中心、一汽物流长春智慧物流园等重大项目落地生根……</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高质量发展的现代服务业是“氤氲”这一切的鲜明底色。</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站在“十四五”开局之年，吉林人民始终把习近平总书记“要培育发展现代化都市圈，加强重点区域和重点领域合作，形成东北地区协同开放合力”的谆谆教导铭记在心，省委结合我省实际，提出“两确保一率先”，决定全面实施“一主六双”高质量发展战略。8月26日，全省服务业转型升级高质量发展大会召开，省委书记景俊海强调，要深入贯彻习近平总书记视察吉林重要讲话重要指示精神，大力推动服务业转型升级，加快促进联动发展、协同创新、业态融合，努力实现发展提速、比重提高、质量提升，为新时代吉林振兴发展打造新动能。省长韩俊强调，要围绕服务业高质量发展“1+N”行动方案和“二十大工程”，实行专班推进、整合资源，用一流的营商环境、一流的政务服务最大限度激发企业创新发展活力，加快推进服务业转型升级。</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9月6日，第二十届中国长春国际农业·食品博览（交易）会在长春农博园开幕，本届农博会以“发展智慧农业、引领产业发展、增强交易功能、助力乡村振兴”为主题，推出了品牌展销与设施装备、产业示范与科普教育、经贸论坛与赛事活动三大板块41项展示与活动内容，吸引了众多客商市民前来对接洽谈、游览购物；9月8日，首届吉林“98消费节”仪式在长春启动，这个吉林人自己的全民消费品牌，为期40天，贯穿教师节、中秋节、国庆节、重阳节四大节日的活动，把以人民为中心的发展思想，深入实施扩大内需战略诠释得淋漓尽致；9月23日至27日，第十三届中国—东北亚博览会将在长春市举办，届时将有国内外1001户企业参展……高质量展会效果显著，成为现代服务业的新亮点。</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长春扛起“一主”担当，打造高质量发展核心引擎。体现新担当，实现新突破，展现新作为，现代服务业正成为推动长春发展的助推器。</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看“量”。上半年长春服务业增加值实现1855.3亿元，同比增长10.3%，高于全省0.8个百分点；增加值占GDP比重达到54%，比去年全年提高3.6个百分点。</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看“质”。上半年长春服务业对经济增长贡献率达到49.6%。1-6月份，规上服务业完成营业收入403.8亿元，同比增长25.3%，增速居东北四市首位。</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lastRenderedPageBreak/>
        <w:t>现代服务业的发展速度和所释放的巨大新动能，正在不断刷新长春经济的版图，让长春现代化都市圈建设绽放出耀眼的光芒。</w:t>
      </w:r>
    </w:p>
    <w:p w:rsidR="00AA087E" w:rsidRPr="00EF73EA" w:rsidRDefault="00AA087E" w:rsidP="00AA087E">
      <w:pPr>
        <w:pStyle w:val="a3"/>
        <w:shd w:val="clear" w:color="auto" w:fill="FFFFFF"/>
        <w:spacing w:before="150" w:beforeAutospacing="0" w:after="150" w:afterAutospacing="0" w:line="405" w:lineRule="atLeast"/>
        <w:ind w:firstLine="480"/>
        <w:rPr>
          <w:rFonts w:ascii="华文中宋" w:eastAsia="华文中宋" w:hAnsi="华文中宋"/>
          <w:b/>
          <w:color w:val="373535"/>
          <w:sz w:val="28"/>
          <w:szCs w:val="28"/>
        </w:rPr>
      </w:pPr>
      <w:r w:rsidRPr="00EF73EA">
        <w:rPr>
          <w:rFonts w:ascii="华文中宋" w:eastAsia="华文中宋" w:hAnsi="华文中宋" w:hint="eastAsia"/>
          <w:b/>
          <w:color w:val="373535"/>
          <w:sz w:val="28"/>
          <w:szCs w:val="28"/>
        </w:rPr>
        <w:t>大项目快速落位，培育壮大新的增长极，奠定多业支撑新骨架</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着眼当下与未来，兼具工业型城市、区域性中心城市双重属性的长春市加快服务业高质量发展，既是现实需要，更是必然选择。</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“十四五”时期，长春市推动服务业转型升级的预期目标是：全市服务业增加值达到5000亿元，年均增速高于GDP增速1-2个百分点，服务业增加值占GDP比重达到55%以上。</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重点发展产业融合型、数字赋能型、文旅带动型、都市集聚型服务业，计划到2025年，长春市服务业力争实现规模、质量、贡献、功能“四提升”，产业形态、驱动模式、发展路径“三转变”，基本建成国家区域性服务业中心城市。</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要确保实现这一目标，必须牢牢抓住项目建设这一“定海神针”。</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十四五”刚刚开局，长春就处处涌动服务业项目建设大潮。净月山水林生命休闲康旅产业带构筑“吃住行游购娱学养”为一体的旅游生态圈，正在建设4个10亿元以上文旅综合体项目；央地合作打造的长春东北亚国际博览中心建成后将成为东北地区承载能力最强、配套功能最全、科技水平最新的会展产业新高地；总投资近60亿元的长春华润中心，是集办公、休闲、购物为一体的城市综合体……</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从长春市区驱车来到净月高新区生态大街南端，看到一座造型酷似“金胶卷”的建筑——长春国际影都展示中心，就意味着你到了长春国际影都的核心地带。</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在机器轰鸣的工地上，长春净月影视文旅产业集团有限公司董事长王家福向记者高声介绍的是长春市影视产业园区基础设施建设项目，未来这里将成为占地13.32万平方米的影视联盟融媒体及影视后期制作中心。</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承载长春现代化都市圈“东向”战略的长春国际影都，已有107个项目正式签约，合同金额达1484亿元。目前，六大基地正全面加快建设，力争三年之内形成千亿级影视文旅产业生态圈，年接待游客超千万人次。</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长春生产服务型国家物流枢纽正在稳步推进，这是物流园区的“国家队”，在全国物流网络体系中发挥关键节点、重要平台和骨干中枢作用。到2025年，长春市生产服务型国家物流枢纽达效后，每年将为一汽整车运输节省物流费用约13亿元，降低长春市物流总费用超过200亿元。</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令人印象更为深刻的是，记者在长春市发改委相关负责人手中的国家物流枢纽《项目清单》和《问题清单》上，看到一个个问题在销号，项目进程一目了然。</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t>遍布长春市的每个大项目建设现场都有这样的清单，在长春全面实行清单推进机制中，一个个重大项目扎扎实实地向前推进。</w:t>
      </w:r>
    </w:p>
    <w:p w:rsidR="00AA087E" w:rsidRPr="007F7597" w:rsidRDefault="00AA087E" w:rsidP="007F7597">
      <w:pPr>
        <w:pStyle w:val="a3"/>
        <w:shd w:val="clear" w:color="auto" w:fill="FFFFFF"/>
        <w:spacing w:before="150" w:beforeAutospacing="0" w:after="150" w:afterAutospacing="0" w:line="360" w:lineRule="exact"/>
        <w:ind w:firstLine="482"/>
        <w:rPr>
          <w:b/>
          <w:color w:val="373535"/>
          <w:sz w:val="21"/>
          <w:szCs w:val="21"/>
        </w:rPr>
      </w:pPr>
      <w:r w:rsidRPr="007F7597">
        <w:rPr>
          <w:rFonts w:hint="eastAsia"/>
          <w:b/>
          <w:color w:val="373535"/>
          <w:sz w:val="21"/>
          <w:szCs w:val="21"/>
        </w:rPr>
        <w:lastRenderedPageBreak/>
        <w:t>这些大项目犹如超级引擎，加快补齐长春市服务业的短板和弱项，提升长春城市能级和竞争力。长春市发改委服务业处相关负责人说，伴随这些大项目陆续释放产能，长春市经济结构呈现出多业支撑新格局，经济增长由主要依靠第二产业带动转向依靠三次产业共同带动。</w:t>
      </w:r>
    </w:p>
    <w:p w:rsidR="00AA087E" w:rsidRPr="00EF73EA" w:rsidRDefault="00AA087E" w:rsidP="00AA087E">
      <w:pPr>
        <w:pStyle w:val="a3"/>
        <w:shd w:val="clear" w:color="auto" w:fill="FFFFFF"/>
        <w:spacing w:before="150" w:beforeAutospacing="0" w:after="150" w:afterAutospacing="0" w:line="405" w:lineRule="atLeast"/>
        <w:ind w:firstLine="480"/>
        <w:rPr>
          <w:rFonts w:ascii="华文中宋" w:eastAsia="华文中宋" w:hAnsi="华文中宋"/>
          <w:b/>
          <w:color w:val="373535"/>
          <w:sz w:val="28"/>
          <w:szCs w:val="28"/>
        </w:rPr>
      </w:pPr>
      <w:r w:rsidRPr="00EF73EA">
        <w:rPr>
          <w:rFonts w:ascii="华文中宋" w:eastAsia="华文中宋" w:hAnsi="华文中宋" w:hint="eastAsia"/>
          <w:b/>
          <w:color w:val="373535"/>
          <w:sz w:val="28"/>
          <w:szCs w:val="28"/>
        </w:rPr>
        <w:t>传统业态提质增效，新业态风起“云”涌，呈集聚之势</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省委常委、长春市委书记张志军强调，“全力以赴提消费、挖潜力，精准施策刺激消费，推动服务业提质增效”。</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作为服务业的“基本盘”，长春市传统服务业优势业态正在提质增效。</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春旅游方兴未艾。打造“冰雪”和“避暑”两张牌，突出文化引领和旅游带动，实现全域全季旅游。仅2020-2021雪季，全市推出冰雪产品40余个、冰雪活动100余项，整个雪季共接待旅游人数近3000万人次，较上季增长近40%，实现旅游收入527亿元。</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商贸流通业不断诞生新的打卡地。红旗街商圈“这有山”——这座主打“室内景观小镇”概念的文旅综合体，孵化的网红小吃、小店层出不穷，“打卡‘这有山’”成为年轻人新生活方式之一。摩天活力城商业综合体、桂林路胡同步行街等实体商业持续火爆。</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金融业发展“风头”日盛。站在长春市人民大街与谊民路交会处，向东望去，一栋栋高端写字楼气势磅礴，这里就是东北亚国际金融中心，各类金融机构及相关产业在这里“茁壮生长”。今年上半年，长春市企业上市4家，再创新高。目前全市企业上市家数达到36家，进一步巩固了在东北四市中的领跑态势。</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一手抓“旧”，另一手布“新”。</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放眼长春经济版图，“数字赋能型”服务业已风起“云”涌，新业态如雨后春笋，拔节成长。</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基于云计算和人工智能的强大算力和算法是城市的“大脑”，各领域的应用场景是城市的“行为”，2020年4月，长春市以推动城市治理体系和治理能力现代化为目标，全面启动城市智能体建设。目前，包含城市云七大能力平台的“大底座”、4个中枢系统的“大中枢”，以及4个领域15个综合应用的“大场景”体系已全面上线，标志着全场景城市智能体在长春市基本建设完成。</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欧亚卖场日常经营的货物品类数以万计。他们的梦想是“仓库永远在路上”，召之即来。帮助欧亚卖场实现这一目标的，正是供应链体系试点在长春市的深入铺开。欧亚卖场充分运用智能供应链体系，实现进、销、存良性合理联动，极大节约了仓储成本。</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作为孕育新经济新动能的“孵化器”，长春市服务业新兴业态集聚成区、联袂崛起，为经济高质量发展注入新动能。</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走进长春市北湖科技园，现代服务业的蓬勃朝气扑面而来。园区以龙头企业为核心，以关键技术开发应用为纽带，构建现代服务业产业生态圈，形成“核心企业+创客空间+孵</w:t>
      </w:r>
      <w:r w:rsidRPr="007F7597">
        <w:rPr>
          <w:rFonts w:hint="eastAsia"/>
          <w:b/>
          <w:color w:val="373535"/>
          <w:sz w:val="21"/>
          <w:szCs w:val="21"/>
        </w:rPr>
        <w:lastRenderedPageBreak/>
        <w:t>化平台”的特色园区发展模式。目前，已引进各类科技、双创类企业和机构600余家,园区累计总收入突破百亿元，是长春市最具创新活力专业园区之一。</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目前，长春市服务业集聚区达到34个，占全省总数一半以上。</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与先进制造业珠联璧合，在“链”上着力，“产业融合高地”雄起</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长春市现代服务业高质量发展更大的空间在哪里？</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基于对长春市产业特点的深入考量，长春市相关负责人说，做足“融”的文章，加快服务业与先进制造业、现代农业融合，打造“产业融合高地”。</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在“链”上着力，率先打好“汽车牌”。作为长春市的主导产业，汽车产业不仅是工业发展的关键，更是服务业转型升级的重要支撑。</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长春市一方面大力发展新能源、智能网联、移动出行等汽车产业的新兴业务；另一方面，大力发展研发设计、汽车物流、汽车金融等服务，形成全链条的汽车产业生态体系。</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春国际汽车城有近4000户汽车零部件生产、物流、销售企业，构筑了以一汽NBD周边百公里为配套半径、专属汽车海关口岸为通道、金融服务为保障的上下游协同发展的新格局，已形成了研发体系完备、汽车商贸繁荣、融资便利的产业生态圈。</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越来越多的企业抢搭一汽“新四化”的顺风车。</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8月11日，长春新区举办制造业和生产性服务业企业家沙龙，12家新区先进装备制造与生产性服务业企业负责人围绕制造业补链、强链、延链面对面对接。“我们将瞄准汽车产业‘新四化’发展趋势，持续提高配套服务技术水平。”长春振宇机电成套有限公司总经理于延波表示。</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中车长客国家先进制造业和现代服务业两业融合发展试点获批后，长春绿园区确定了“产城一体”“联汽助客”战略与打造世界级轨道交通产业基地核心区的目标，以中车长客发展需求为导向，重点布局轨道交通装备产业链、供应链、物流链的发展路径，部署创新链、生态链、服务链等业态。</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长光卫星技术有限公司是东北首个“独角兽”企业，卫星“赋能”效应不断凸现，“卫星+”成为长春市服务业中最吸睛的一道风景。</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在长春市大力发展智慧农业进程中，卫星提供的高质量遥感信息服务分外给力。九台区红光村水稻产业开启了全新种植模式。由长春市政府牵头，九台区政府与中农阳光合作建设的数联网智慧乡村综合服务平台运营后，平台依托高分卫星，将卫星遥感、气象监测、地面传感等数据融合，实现了对地全天候智能化识别，各项与农业息息相关的信息通过网络实时推送到农民的手机上，实现水稻标准化生产，确保贡米的高品质。</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t>长春市现代服务业与先进制造业深度融合，领航高质量发展，其力已聚，其势已成。</w:t>
      </w:r>
    </w:p>
    <w:p w:rsidR="00AA087E" w:rsidRPr="007F7597" w:rsidRDefault="00AA087E" w:rsidP="007F7597">
      <w:pPr>
        <w:pStyle w:val="a3"/>
        <w:shd w:val="clear" w:color="auto" w:fill="FFFFFF"/>
        <w:spacing w:before="150" w:beforeAutospacing="0" w:after="150" w:afterAutospacing="0" w:line="360" w:lineRule="exact"/>
        <w:ind w:firstLine="480"/>
        <w:rPr>
          <w:b/>
          <w:color w:val="373535"/>
          <w:sz w:val="21"/>
          <w:szCs w:val="21"/>
        </w:rPr>
      </w:pPr>
      <w:r w:rsidRPr="007F7597">
        <w:rPr>
          <w:rFonts w:hint="eastAsia"/>
          <w:b/>
          <w:color w:val="373535"/>
          <w:sz w:val="21"/>
          <w:szCs w:val="21"/>
        </w:rPr>
        <w:lastRenderedPageBreak/>
        <w:t>长春市打造成为产业融合高地、数字经济强市、文化旅游名城、区域消费中心，扛起“一主”责任，发挥“六双”功能，充分展示了长春的雄心和担当。伴随多点支撑、多业并举、多元发展的新格局形成，长春现代化都市圈建设必将成为我省乃至东北振兴发展的精彩篇章。</w:t>
      </w:r>
    </w:p>
    <w:p w:rsidR="00AA087E" w:rsidRPr="007F7597" w:rsidRDefault="00AA087E" w:rsidP="007F7597">
      <w:pPr>
        <w:pStyle w:val="a3"/>
        <w:shd w:val="clear" w:color="auto" w:fill="FFFFFF"/>
        <w:spacing w:before="150" w:beforeAutospacing="0" w:after="150" w:afterAutospacing="0" w:line="360" w:lineRule="exact"/>
        <w:ind w:right="1120" w:firstLineChars="100" w:firstLine="211"/>
        <w:jc w:val="center"/>
        <w:rPr>
          <w:rFonts w:ascii="楷体" w:eastAsia="楷体" w:hAnsi="楷体"/>
          <w:b/>
          <w:color w:val="373535"/>
          <w:sz w:val="21"/>
          <w:szCs w:val="21"/>
        </w:rPr>
      </w:pPr>
    </w:p>
    <w:sectPr w:rsidR="00AA087E" w:rsidRPr="007F7597" w:rsidSect="00E059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133"/>
    <w:rsid w:val="00244643"/>
    <w:rsid w:val="007F7597"/>
    <w:rsid w:val="00835737"/>
    <w:rsid w:val="00AA087E"/>
    <w:rsid w:val="00D95851"/>
    <w:rsid w:val="00E0590E"/>
    <w:rsid w:val="00E56133"/>
    <w:rsid w:val="00EF7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7285969">
      <w:bodyDiv w:val="1"/>
      <w:marLeft w:val="0"/>
      <w:marRight w:val="0"/>
      <w:marTop w:val="0"/>
      <w:marBottom w:val="0"/>
      <w:divBdr>
        <w:top w:val="none" w:sz="0" w:space="0" w:color="auto"/>
        <w:left w:val="none" w:sz="0" w:space="0" w:color="auto"/>
        <w:bottom w:val="none" w:sz="0" w:space="0" w:color="auto"/>
        <w:right w:val="none" w:sz="0" w:space="0" w:color="auto"/>
      </w:divBdr>
    </w:div>
    <w:div w:id="455873307">
      <w:bodyDiv w:val="1"/>
      <w:marLeft w:val="0"/>
      <w:marRight w:val="0"/>
      <w:marTop w:val="0"/>
      <w:marBottom w:val="0"/>
      <w:divBdr>
        <w:top w:val="none" w:sz="0" w:space="0" w:color="auto"/>
        <w:left w:val="none" w:sz="0" w:space="0" w:color="auto"/>
        <w:bottom w:val="none" w:sz="0" w:space="0" w:color="auto"/>
        <w:right w:val="none" w:sz="0" w:space="0" w:color="auto"/>
      </w:divBdr>
    </w:div>
    <w:div w:id="498736608">
      <w:bodyDiv w:val="1"/>
      <w:marLeft w:val="0"/>
      <w:marRight w:val="0"/>
      <w:marTop w:val="0"/>
      <w:marBottom w:val="0"/>
      <w:divBdr>
        <w:top w:val="none" w:sz="0" w:space="0" w:color="auto"/>
        <w:left w:val="none" w:sz="0" w:space="0" w:color="auto"/>
        <w:bottom w:val="none" w:sz="0" w:space="0" w:color="auto"/>
        <w:right w:val="none" w:sz="0" w:space="0" w:color="auto"/>
      </w:divBdr>
    </w:div>
    <w:div w:id="1066101153">
      <w:bodyDiv w:val="1"/>
      <w:marLeft w:val="0"/>
      <w:marRight w:val="0"/>
      <w:marTop w:val="0"/>
      <w:marBottom w:val="0"/>
      <w:divBdr>
        <w:top w:val="none" w:sz="0" w:space="0" w:color="auto"/>
        <w:left w:val="none" w:sz="0" w:space="0" w:color="auto"/>
        <w:bottom w:val="none" w:sz="0" w:space="0" w:color="auto"/>
        <w:right w:val="none" w:sz="0" w:space="0" w:color="auto"/>
      </w:divBdr>
    </w:div>
    <w:div w:id="1263805765">
      <w:bodyDiv w:val="1"/>
      <w:marLeft w:val="0"/>
      <w:marRight w:val="0"/>
      <w:marTop w:val="0"/>
      <w:marBottom w:val="0"/>
      <w:divBdr>
        <w:top w:val="none" w:sz="0" w:space="0" w:color="auto"/>
        <w:left w:val="none" w:sz="0" w:space="0" w:color="auto"/>
        <w:bottom w:val="none" w:sz="0" w:space="0" w:color="auto"/>
        <w:right w:val="none" w:sz="0" w:space="0" w:color="auto"/>
      </w:divBdr>
    </w:div>
    <w:div w:id="1332443120">
      <w:bodyDiv w:val="1"/>
      <w:marLeft w:val="0"/>
      <w:marRight w:val="0"/>
      <w:marTop w:val="0"/>
      <w:marBottom w:val="0"/>
      <w:divBdr>
        <w:top w:val="none" w:sz="0" w:space="0" w:color="auto"/>
        <w:left w:val="none" w:sz="0" w:space="0" w:color="auto"/>
        <w:bottom w:val="none" w:sz="0" w:space="0" w:color="auto"/>
        <w:right w:val="none" w:sz="0" w:space="0" w:color="auto"/>
      </w:divBdr>
    </w:div>
    <w:div w:id="1782068925">
      <w:bodyDiv w:val="1"/>
      <w:marLeft w:val="0"/>
      <w:marRight w:val="0"/>
      <w:marTop w:val="0"/>
      <w:marBottom w:val="0"/>
      <w:divBdr>
        <w:top w:val="none" w:sz="0" w:space="0" w:color="auto"/>
        <w:left w:val="none" w:sz="0" w:space="0" w:color="auto"/>
        <w:bottom w:val="none" w:sz="0" w:space="0" w:color="auto"/>
        <w:right w:val="none" w:sz="0" w:space="0" w:color="auto"/>
      </w:divBdr>
    </w:div>
    <w:div w:id="1823542765">
      <w:bodyDiv w:val="1"/>
      <w:marLeft w:val="0"/>
      <w:marRight w:val="0"/>
      <w:marTop w:val="0"/>
      <w:marBottom w:val="0"/>
      <w:divBdr>
        <w:top w:val="none" w:sz="0" w:space="0" w:color="auto"/>
        <w:left w:val="none" w:sz="0" w:space="0" w:color="auto"/>
        <w:bottom w:val="none" w:sz="0" w:space="0" w:color="auto"/>
        <w:right w:val="none" w:sz="0" w:space="0" w:color="auto"/>
      </w:divBdr>
    </w:div>
    <w:div w:id="1883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Hua</dc:creator>
  <cp:keywords/>
  <dc:description/>
  <cp:lastModifiedBy>admin</cp:lastModifiedBy>
  <cp:revision>4</cp:revision>
  <dcterms:created xsi:type="dcterms:W3CDTF">2022-05-19T03:09:00Z</dcterms:created>
  <dcterms:modified xsi:type="dcterms:W3CDTF">2022-06-24T07:28:00Z</dcterms:modified>
</cp:coreProperties>
</file>