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1800" w:firstLineChars="500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中国新闻奖系列报道作品完整目录</w:t>
      </w:r>
    </w:p>
    <w:p>
      <w:pPr>
        <w:widowControl w:val="0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2"/>
        <w:tblW w:w="11199" w:type="dxa"/>
        <w:tblInd w:w="-601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507"/>
        <w:gridCol w:w="2462"/>
        <w:gridCol w:w="851"/>
        <w:gridCol w:w="1136"/>
        <w:gridCol w:w="1189"/>
        <w:gridCol w:w="2685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2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4074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编织大豆振兴密码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序</w:t>
            </w:r>
          </w:p>
          <w:p>
            <w:pPr>
              <w:widowControl w:val="0"/>
              <w:snapToGrid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7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单篇作品标题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字数/时长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2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hint="eastAsia"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盐碱地也能出高产，大豆育种又有新突破</w:t>
            </w:r>
          </w:p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Cs w:val="21"/>
              </w:rPr>
            </w:pPr>
          </w:p>
        </w:tc>
        <w:tc>
          <w:tcPr>
            <w:tcW w:w="37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系列</w:t>
            </w:r>
          </w:p>
        </w:tc>
        <w:tc>
          <w:tcPr>
            <w:tcW w:w="50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4分34秒</w:t>
            </w:r>
          </w:p>
        </w:tc>
        <w:tc>
          <w:tcPr>
            <w:tcW w:w="530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2021、12、21</w:t>
            </w:r>
          </w:p>
        </w:tc>
        <w:tc>
          <w:tcPr>
            <w:tcW w:w="119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吉林旅游广播《城市早安》</w:t>
            </w:r>
          </w:p>
        </w:tc>
        <w:tc>
          <w:tcPr>
            <w:tcW w:w="3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2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大豆连创高产背后的记录</w:t>
            </w:r>
          </w:p>
        </w:tc>
        <w:tc>
          <w:tcPr>
            <w:tcW w:w="379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系列</w:t>
            </w:r>
          </w:p>
        </w:tc>
        <w:tc>
          <w:tcPr>
            <w:tcW w:w="507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6分10秒</w:t>
            </w:r>
          </w:p>
        </w:tc>
        <w:tc>
          <w:tcPr>
            <w:tcW w:w="530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2021、12、22</w:t>
            </w:r>
          </w:p>
        </w:tc>
        <w:tc>
          <w:tcPr>
            <w:tcW w:w="1198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吉林旅游广播《城市早安》</w:t>
            </w:r>
          </w:p>
        </w:tc>
        <w:tc>
          <w:tcPr>
            <w:tcW w:w="358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野生大豆种质资源库领跑全国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系列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6分43秒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2021、12、23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吉林旅游广播《城市早安》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2" w:type="pc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2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2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72" w:type="pct"/>
            <w:gridSpan w:val="2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2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72" w:type="pct"/>
            <w:gridSpan w:val="2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2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72" w:type="pct"/>
            <w:gridSpan w:val="2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2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72" w:type="pct"/>
            <w:gridSpan w:val="2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2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72" w:type="pct"/>
            <w:gridSpan w:val="2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2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2" w:type="pct"/>
            <w:gridSpan w:val="2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2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72" w:type="pct"/>
            <w:gridSpan w:val="2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2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2" w:type="pct"/>
            <w:gridSpan w:val="2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</w:tbl>
    <w:p>
      <w:pPr>
        <w:ind w:firstLine="420"/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JiOWYwNzNjNGFhNDQ0YmE5OWQyZTNmZTAxNDdlZjIifQ=="/>
  </w:docVars>
  <w:rsids>
    <w:rsidRoot w:val="00D27284"/>
    <w:rsid w:val="003019C9"/>
    <w:rsid w:val="00D27284"/>
    <w:rsid w:val="029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The wind at random</Company>
  <Pages>1</Pages>
  <Words>175</Words>
  <Characters>196</Characters>
  <Lines>2</Lines>
  <Paragraphs>1</Paragraphs>
  <TotalTime>3</TotalTime>
  <ScaleCrop>false</ScaleCrop>
  <LinksUpToDate>false</LinksUpToDate>
  <CharactersWithSpaces>196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2022-06-23T06:43:00Z</dcterms:created>
  <dc:creator>清风随意</dc:creator>
  <cp:lastModifiedBy>Administrator</cp:lastModifiedBy>
  <dcterms:modified xsi:type="dcterms:W3CDTF">2022-06-23T06:57:16Z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BDCF6FFC22574769B2E1E94032C05B24</vt:lpwstr>
  </property>
</Properties>
</file>