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CB375">
      <w:pPr>
        <w:pStyle w:val="4"/>
        <w:spacing w:beforeAutospacing="0" w:afterAutospacing="0" w:line="620" w:lineRule="exact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 w:eastAsia="仿宋_GB2312"/>
          <w:b/>
          <w:bCs/>
          <w:color w:val="000000"/>
          <w:sz w:val="32"/>
          <w:szCs w:val="32"/>
        </w:rPr>
        <w:t>附件10-4：</w:t>
      </w:r>
    </w:p>
    <w:p w14:paraId="3BDF0626">
      <w:pPr>
        <w:pStyle w:val="4"/>
        <w:spacing w:beforeAutospacing="0" w:afterAutospacing="0" w:line="620" w:lineRule="exact"/>
        <w:jc w:val="center"/>
        <w:rPr>
          <w:rFonts w:ascii="Times New Roman" w:hAnsi="Times New Roman" w:eastAsia="方正小标宋_GBK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小标宋_GBK"/>
          <w:color w:val="000000"/>
          <w:sz w:val="44"/>
          <w:szCs w:val="44"/>
        </w:rPr>
        <w:t>新媒体新闻专栏代表作基本情况</w:t>
      </w:r>
    </w:p>
    <w:p w14:paraId="5DAEDFB1">
      <w:pPr>
        <w:spacing w:line="200" w:lineRule="exact"/>
        <w:jc w:val="center"/>
        <w:rPr>
          <w:rFonts w:ascii="Times New Roman" w:hAnsi="Times New Roman" w:eastAsia="华文中宋" w:cs="Times New Roman"/>
          <w:color w:val="000000"/>
          <w:sz w:val="36"/>
          <w:szCs w:val="36"/>
        </w:rPr>
      </w:pPr>
    </w:p>
    <w:tbl>
      <w:tblPr>
        <w:tblStyle w:val="5"/>
        <w:tblW w:w="9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96"/>
        <w:gridCol w:w="806"/>
        <w:gridCol w:w="489"/>
        <w:gridCol w:w="1570"/>
        <w:gridCol w:w="498"/>
        <w:gridCol w:w="471"/>
        <w:gridCol w:w="588"/>
        <w:gridCol w:w="831"/>
        <w:gridCol w:w="883"/>
        <w:gridCol w:w="1769"/>
      </w:tblGrid>
      <w:tr w14:paraId="2A663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46D2D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专栏名称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D1B7C">
            <w:pPr>
              <w:widowControl/>
              <w:spacing w:line="24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</w:rPr>
              <w:t>翠花走千村</w:t>
            </w:r>
          </w:p>
        </w:tc>
      </w:tr>
      <w:tr w14:paraId="4972E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D8586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代表作标题</w:t>
            </w:r>
          </w:p>
        </w:tc>
        <w:tc>
          <w:tcPr>
            <w:tcW w:w="79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2DE47">
            <w:pPr>
              <w:widowControl/>
              <w:spacing w:line="240" w:lineRule="exac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/>
                <w:szCs w:val="21"/>
              </w:rPr>
              <w:t>当“冰雪狂欢”遇上“乌拉火锅”，这样的体验真是太酷了！</w:t>
            </w:r>
          </w:p>
        </w:tc>
      </w:tr>
      <w:tr w14:paraId="6DD9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BE6E8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发布日期</w:t>
            </w:r>
          </w:p>
        </w:tc>
        <w:tc>
          <w:tcPr>
            <w:tcW w:w="3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A9FB5">
            <w:pPr>
              <w:widowControl/>
              <w:spacing w:line="240" w:lineRule="exact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</w:rPr>
              <w:t>2024年</w:t>
            </w:r>
            <w:r>
              <w:rPr>
                <w:rFonts w:hint="eastAsia" w:ascii="Times New Roman" w:hAnsi="Times New Roman" w:eastAsia="仿宋" w:cs="Times New Roman"/>
              </w:rPr>
              <w:t>12</w:t>
            </w:r>
            <w:r>
              <w:rPr>
                <w:rFonts w:ascii="Times New Roman" w:hAnsi="Times New Roman" w:eastAsia="仿宋" w:cs="Times New Roman"/>
              </w:rPr>
              <w:t>月</w:t>
            </w:r>
            <w:r>
              <w:rPr>
                <w:rFonts w:hint="eastAsia" w:ascii="Times New Roman" w:hAnsi="Times New Roman" w:eastAsia="仿宋" w:cs="Times New Roman"/>
              </w:rPr>
              <w:t>31</w:t>
            </w:r>
            <w:r>
              <w:rPr>
                <w:rFonts w:ascii="Times New Roman" w:hAnsi="Times New Roman" w:eastAsia="仿宋" w:cs="Times New Roman"/>
              </w:rPr>
              <w:t>日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62F68">
            <w:pPr>
              <w:widowControl/>
              <w:spacing w:line="240" w:lineRule="exact"/>
              <w:jc w:val="center"/>
              <w:rPr>
                <w:rFonts w:ascii="Times New Roman" w:hAnsi="Times New Roman" w:eastAsia="华文中宋" w:cs="Times New Roman"/>
                <w:szCs w:val="21"/>
              </w:rPr>
            </w:pPr>
            <w:r>
              <w:rPr>
                <w:rFonts w:ascii="Times New Roman" w:hAnsi="Times New Roman" w:eastAsia="华文中宋" w:cs="Times New Roman"/>
                <w:szCs w:val="21"/>
              </w:rPr>
              <w:t>字数/</w:t>
            </w:r>
          </w:p>
          <w:p w14:paraId="45523125">
            <w:pPr>
              <w:widowControl/>
              <w:spacing w:line="240" w:lineRule="exact"/>
              <w:jc w:val="center"/>
              <w:rPr>
                <w:rFonts w:ascii="Times New Roman" w:hAnsi="Times New Roman" w:eastAsia="华文中宋" w:cs="Times New Roman"/>
                <w:szCs w:val="21"/>
              </w:rPr>
            </w:pPr>
            <w:r>
              <w:rPr>
                <w:rFonts w:ascii="Times New Roman" w:hAnsi="Times New Roman" w:eastAsia="华文中宋" w:cs="Times New Roman"/>
                <w:szCs w:val="21"/>
              </w:rPr>
              <w:t>时长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68720"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364字</w:t>
            </w:r>
          </w:p>
        </w:tc>
      </w:tr>
      <w:tr w14:paraId="0936A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A346C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作品链接</w:t>
            </w:r>
          </w:p>
          <w:p w14:paraId="6978AFA3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和二维码</w:t>
            </w:r>
          </w:p>
        </w:tc>
        <w:tc>
          <w:tcPr>
            <w:tcW w:w="4422" w:type="dxa"/>
            <w:gridSpan w:val="6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CC6BD"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Cs/>
              </w:rPr>
              <w:t>https://www.cailianxinwen.com/app/news/shareNewsDetail?newsid=472098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BF187">
            <w:pPr>
              <w:widowControl/>
              <w:spacing w:line="240" w:lineRule="exact"/>
              <w:jc w:val="center"/>
              <w:rPr>
                <w:rFonts w:ascii="Times New Roman" w:hAnsi="Times New Roman" w:eastAsia="华文中宋" w:cs="Times New Roman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sz w:val="22"/>
                <w:szCs w:val="22"/>
              </w:rPr>
              <w:t>入选</w:t>
            </w:r>
          </w:p>
          <w:p w14:paraId="2DD9964F">
            <w:pPr>
              <w:widowControl/>
              <w:spacing w:line="240" w:lineRule="exact"/>
              <w:jc w:val="center"/>
              <w:rPr>
                <w:rFonts w:ascii="Times New Roman" w:hAnsi="Times New Roman" w:eastAsia="华文中宋" w:cs="Times New Roman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sz w:val="22"/>
                <w:szCs w:val="22"/>
              </w:rPr>
              <w:t>“三好作品”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60FB9">
            <w:pPr>
              <w:widowControl/>
              <w:spacing w:line="240" w:lineRule="exact"/>
              <w:rPr>
                <w:rFonts w:hint="eastAsia" w:ascii="Times New Roman" w:hAnsi="Times New Roman" w:eastAsia="仿宋" w:cs="Times New Roman"/>
                <w:szCs w:val="21"/>
              </w:rPr>
            </w:pPr>
          </w:p>
        </w:tc>
      </w:tr>
      <w:tr w14:paraId="7A026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66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7C2C4">
            <w:pPr>
              <w:widowControl/>
              <w:spacing w:line="240" w:lineRule="exact"/>
              <w:jc w:val="left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</w:p>
        </w:tc>
        <w:tc>
          <w:tcPr>
            <w:tcW w:w="4422" w:type="dxa"/>
            <w:gridSpan w:val="6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EE1DF"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A2C85">
            <w:pPr>
              <w:widowControl/>
              <w:spacing w:line="240" w:lineRule="exact"/>
              <w:jc w:val="center"/>
              <w:rPr>
                <w:rFonts w:ascii="Times New Roman" w:hAnsi="Times New Roman" w:eastAsia="华文中宋" w:cs="Times New Roman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sz w:val="22"/>
                <w:szCs w:val="22"/>
              </w:rPr>
              <w:t>入选</w:t>
            </w:r>
          </w:p>
          <w:p w14:paraId="0C8367F1">
            <w:pPr>
              <w:widowControl/>
              <w:spacing w:line="240" w:lineRule="exact"/>
              <w:jc w:val="center"/>
              <w:rPr>
                <w:rFonts w:ascii="Times New Roman" w:hAnsi="Times New Roman" w:eastAsia="华文中宋" w:cs="Times New Roman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sz w:val="22"/>
                <w:szCs w:val="22"/>
              </w:rPr>
              <w:t>“我的代表作”</w:t>
            </w:r>
          </w:p>
        </w:tc>
        <w:tc>
          <w:tcPr>
            <w:tcW w:w="1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4AA7A">
            <w:pPr>
              <w:widowControl/>
              <w:spacing w:line="240" w:lineRule="exact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sz w:val="28"/>
                <w:szCs w:val="28"/>
              </w:rPr>
              <w:t>√</w:t>
            </w:r>
          </w:p>
        </w:tc>
      </w:tr>
      <w:tr w14:paraId="74848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B7A5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作</w:t>
            </w:r>
          </w:p>
          <w:p w14:paraId="3B344BF7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品</w:t>
            </w:r>
          </w:p>
          <w:p w14:paraId="31DFD737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</w:t>
            </w:r>
          </w:p>
          <w:p w14:paraId="73262F7F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DEFB">
            <w:pPr>
              <w:widowControl/>
              <w:spacing w:line="240" w:lineRule="exact"/>
              <w:ind w:firstLine="420" w:firstLineChars="200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这篇新媒体作品聚焦东北特色美食雪地火锅，创意独特吸睛。以短视频为载体，搭配简洁文字，形式上完美契合当下快节奏的信息接收习惯。</w:t>
            </w:r>
          </w:p>
          <w:p w14:paraId="0DDDF00B">
            <w:pPr>
              <w:widowControl/>
              <w:spacing w:line="240" w:lineRule="exact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短视频中，镜头捕捉到在银白雪地里支起火锅的场景，强烈的视觉反差极具冲击力，瞬间抓住观众眼球。沸腾的热汤、丰富的食材与寒冷的雪地形成鲜明对比，热气腾腾的烟火气扑面而来，让人隔着屏幕都能感受到那份温暖与豪爽 ，感染力十足。</w:t>
            </w:r>
          </w:p>
          <w:p w14:paraId="3A274C6C">
            <w:pPr>
              <w:widowControl/>
              <w:spacing w:line="24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</w:rPr>
              <w:t>简短的文字说明恰到好处，没有冗长赘述，精准传达出雪地火锅的独特魅力与背后的东北饮食文化，寥寥数语就勾起观众对东北美食的好奇与向往，有效引导互动。</w:t>
            </w:r>
          </w:p>
        </w:tc>
      </w:tr>
      <w:tr w14:paraId="52AF3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7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8FDD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采</w:t>
            </w:r>
          </w:p>
          <w:p w14:paraId="17093D41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编</w:t>
            </w:r>
          </w:p>
          <w:p w14:paraId="5E8F451F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过</w:t>
            </w:r>
          </w:p>
          <w:p w14:paraId="6A346297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程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95A6C">
            <w:pPr>
              <w:widowControl/>
              <w:spacing w:line="240" w:lineRule="exact"/>
              <w:ind w:firstLine="420" w:firstLineChars="200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本次采编聚焦东北雪地火锅。选题策划阶段，团队考虑到东北冬季独特环境，结合冰雪文化与美食吸引力，选定雪地火锅这一受众接受度高的主题，满足大众对新奇美食和地域文化的探索欲。</w:t>
            </w:r>
          </w:p>
          <w:p w14:paraId="007EB7B5">
            <w:pPr>
              <w:widowControl/>
              <w:spacing w:line="240" w:lineRule="exact"/>
              <w:ind w:firstLine="420" w:firstLineChars="200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资料收集时，通过网络查阅相关文字、图片和视频，了解食材、烹饪、吃法等基本信息，梳理地域和人群差异，深挖东北冬季民俗文化，为采编做准备。</w:t>
            </w:r>
          </w:p>
          <w:p w14:paraId="185A3F66">
            <w:pPr>
              <w:widowControl/>
              <w:spacing w:line="240" w:lineRule="exact"/>
              <w:rPr>
                <w:rFonts w:ascii="Times New Roman" w:hAnsi="Times New Roman" w:eastAsia="仿宋" w:cs="Times New Roman"/>
              </w:rPr>
            </w:pPr>
            <w:r>
              <w:rPr>
                <w:rFonts w:hint="eastAsia" w:ascii="Times New Roman" w:hAnsi="Times New Roman" w:eastAsia="仿宋" w:cs="Times New Roman"/>
              </w:rPr>
              <w:t>通过多种渠道联系美食专家、店家和当地居民，沟通采访细节后，确定在雪村农家乐实地拍摄。到达雪村，先拍全景，再聚焦食材准备、搭锅生火，采访大厨和村民，获取烹饪窍门与情感故事，多角度拍摄素材。</w:t>
            </w:r>
          </w:p>
          <w:p w14:paraId="279712E4">
            <w:pPr>
              <w:widowControl/>
              <w:spacing w:line="240" w:lineRule="exact"/>
              <w:ind w:firstLine="42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</w:rPr>
              <w:t>后期制作筛选优质素材，配上东北特色音乐，编写生动解说字幕，运用特效调整画面，多次审核校对，确保作品以最佳状态呈现。</w:t>
            </w:r>
          </w:p>
        </w:tc>
      </w:tr>
      <w:tr w14:paraId="4B04D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A0E80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社</w:t>
            </w:r>
          </w:p>
          <w:p w14:paraId="6E6B157F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会</w:t>
            </w:r>
          </w:p>
          <w:p w14:paraId="3892D91C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效</w:t>
            </w:r>
          </w:p>
          <w:p w14:paraId="543D5DD3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果</w:t>
            </w:r>
          </w:p>
        </w:tc>
        <w:tc>
          <w:tcPr>
            <w:tcW w:w="87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CE845"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Times New Roman"/>
              </w:rPr>
              <w:t>这篇报道产生了积极的社会效果。它以独特视角展现永吉县北大湖镇五里河村雪地火锅这一特色饮食，将美食与当地的人文、自然景观相融合，激发大众对东北地域文化的兴趣，吸引更多游客前往体验，助力当地旅游经济发展。同时，挖掘乌拉火锅背后的历史文化，增强了民族文化的认同感和自豪感，促进文化传承。报道中游客围坐共享美食的场景，传递出温暖与热情，增进不同地域人群间的情感交流，为弘扬地方特色、推动文化与经济协同发展发挥了积极作用 。</w:t>
            </w:r>
          </w:p>
        </w:tc>
      </w:tr>
      <w:tr w14:paraId="72138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07869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传</w:t>
            </w:r>
          </w:p>
          <w:p w14:paraId="72C851BA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播</w:t>
            </w:r>
          </w:p>
          <w:p w14:paraId="19A115C3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数</w:t>
            </w:r>
          </w:p>
          <w:p w14:paraId="3017CDA0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据</w:t>
            </w:r>
          </w:p>
        </w:tc>
        <w:tc>
          <w:tcPr>
            <w:tcW w:w="160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29791"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pacing w:val="-1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pacing w:val="-10"/>
                <w:sz w:val="24"/>
              </w:rPr>
              <w:t>新媒体传播</w:t>
            </w:r>
          </w:p>
          <w:p w14:paraId="6031B2D0"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平台网址</w:t>
            </w: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FBBE2"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1</w:t>
            </w:r>
          </w:p>
        </w:tc>
        <w:tc>
          <w:tcPr>
            <w:tcW w:w="6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31268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</w:rPr>
              <w:t>填报作品网址、其他平台发布或转发网址。</w:t>
            </w:r>
          </w:p>
        </w:tc>
      </w:tr>
      <w:tr w14:paraId="6477C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ECEC4">
            <w:pPr>
              <w:widowControl/>
              <w:spacing w:line="240" w:lineRule="exact"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A0DD1"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157C"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2</w:t>
            </w:r>
          </w:p>
        </w:tc>
        <w:tc>
          <w:tcPr>
            <w:tcW w:w="6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B7751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38F9D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82F14">
            <w:pPr>
              <w:widowControl/>
              <w:spacing w:line="240" w:lineRule="exact"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64D03">
            <w:pPr>
              <w:widowControl/>
              <w:spacing w:line="240" w:lineRule="exact"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91782"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3</w:t>
            </w:r>
          </w:p>
        </w:tc>
        <w:tc>
          <w:tcPr>
            <w:tcW w:w="66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25D90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5F35A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099EA">
            <w:pPr>
              <w:widowControl/>
              <w:spacing w:line="240" w:lineRule="exact"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8281B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000000"/>
              </w:rPr>
              <w:t>阅读量（浏览量、点击量）</w:t>
            </w:r>
          </w:p>
        </w:tc>
        <w:tc>
          <w:tcPr>
            <w:tcW w:w="2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6B8D8">
            <w:pPr>
              <w:spacing w:line="240" w:lineRule="exact"/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2"/>
                <w:szCs w:val="22"/>
                <w:lang w:val="en-US" w:eastAsia="zh-CN"/>
              </w:rPr>
              <w:t>5000+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7B1C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  <w:t>转载量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8616E">
            <w:pPr>
              <w:spacing w:line="240" w:lineRule="exact"/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1000+</w:t>
            </w:r>
            <w:bookmarkStart w:id="0" w:name="_GoBack"/>
            <w:bookmarkEnd w:id="0"/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9992E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  <w:t>互动量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63FA1">
            <w:pPr>
              <w:spacing w:line="24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包括点赞、评论</w:t>
            </w:r>
          </w:p>
        </w:tc>
      </w:tr>
    </w:tbl>
    <w:p w14:paraId="6647ED66">
      <w:pPr>
        <w:spacing w:line="300" w:lineRule="exact"/>
        <w:rPr>
          <w:rFonts w:ascii="Times New Roman" w:hAnsi="Times New Roman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上、下半年代表作前各附1张。</w:t>
      </w:r>
      <w:r>
        <w:rPr>
          <w:rFonts w:ascii="Times New Roman" w:hAnsi="Times New Roman" w:eastAsia="楷体" w:cs="Times New Roman"/>
          <w:color w:val="000000"/>
          <w:sz w:val="28"/>
          <w:szCs w:val="28"/>
        </w:rPr>
        <w:t>此表可从吉林记协网www.jljx.net下载。</w:t>
      </w:r>
    </w:p>
    <w:p w14:paraId="75D39C81">
      <w:pPr>
        <w:spacing w:line="3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67E59"/>
    <w:rsid w:val="003C3052"/>
    <w:rsid w:val="007C5C54"/>
    <w:rsid w:val="009026A3"/>
    <w:rsid w:val="0093130C"/>
    <w:rsid w:val="00B3281F"/>
    <w:rsid w:val="00B659AF"/>
    <w:rsid w:val="00B70EAC"/>
    <w:rsid w:val="00D24A5A"/>
    <w:rsid w:val="00F35D71"/>
    <w:rsid w:val="4F263BC8"/>
    <w:rsid w:val="767440FE"/>
    <w:rsid w:val="7F76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吉林日报考评办</Company>
  <Pages>2</Pages>
  <Words>951</Words>
  <Characters>1039</Characters>
  <Lines>7</Lines>
  <Paragraphs>2</Paragraphs>
  <TotalTime>36</TotalTime>
  <ScaleCrop>false</ScaleCrop>
  <LinksUpToDate>false</LinksUpToDate>
  <CharactersWithSpaces>1041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2025-03-25T07:02:00Z</dcterms:created>
  <dc:creator>不想多说</dc:creator>
  <cp:lastModifiedBy>2017</cp:lastModifiedBy>
  <dcterms:modified xsi:type="dcterms:W3CDTF">2025-03-27T08:08:34Z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eyJoZGlkIjoiNGEzOWNmY2FiNzc3YWViNTcyODc1YTE5YmVmMzk5NzYiLCJ1c2VySWQiOiIyOTQyNTY2NjcifQ==</vt:lpwstr>
  </property>
  <property fmtid="{D5CDD505-2E9C-101B-9397-08002B2CF9AE}" pid="4" name="ICV">
    <vt:lpwstr>4FABCD85BC4543399A581FD311986574_12</vt:lpwstr>
  </property>
</Properties>
</file>