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6438B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Autospacing="0" w:afterAutospacing="0" w:line="57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55A210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吉林省电子竞技协会入会细则</w:t>
      </w:r>
    </w:p>
    <w:p w14:paraId="103043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​</w:t>
      </w:r>
    </w:p>
    <w:p w14:paraId="5968AF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sz w:val="32"/>
          <w:szCs w:val="32"/>
          <w:lang w:val="en-US" w:eastAsia="zh-CN"/>
        </w:rPr>
        <w:t>第一章 总则</w:t>
      </w:r>
    </w:p>
    <w:p w14:paraId="6D0863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第一条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 xml:space="preserve"> 为规范本协会会员吸纳、登记、管理、服务工作，依据《社会团体登记管理条例》及本协会章程，结合本会面向全社会开放入会的工作实际，制定本细则。</w:t>
      </w:r>
    </w:p>
    <w:p w14:paraId="765713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第二条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 xml:space="preserve"> 本协会会员类别分为：个人会员、单位会员。所有会员自愿入会、退会自由，依法依规享受权利、履行义务。</w:t>
      </w:r>
    </w:p>
    <w:p w14:paraId="378BC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第三条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 xml:space="preserve"> 本细则适用于所有自愿加入本协会的社会自然人、企事业单位、机构团体及社会荣誉人士，为协会对外公开执行的唯一入会标准。</w:t>
      </w:r>
    </w:p>
    <w:p w14:paraId="510FF1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第四条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 xml:space="preserve"> 所有会员必须遵守国家法律法规、体育行业规范、电竞行业自律准则，坚守绿色电竞、文明竞技、健康娱乐原则，严禁涉赌、开挂、代练、违规赛事、网络暴力等违法行为。</w:t>
      </w:r>
    </w:p>
    <w:p w14:paraId="34FE3A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sz w:val="32"/>
          <w:szCs w:val="32"/>
          <w:lang w:val="en-US" w:eastAsia="zh-CN"/>
        </w:rPr>
        <w:t>第二章 个人会员（社会自然人）</w:t>
      </w:r>
    </w:p>
    <w:p w14:paraId="7B14C7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第一</w:t>
      </w: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  <w:lang w:val="en-US" w:eastAsia="zh-CN"/>
        </w:rPr>
        <w:t>条</w:t>
      </w: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 xml:space="preserve"> 入会</w:t>
      </w: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  <w:lang w:val="en-US" w:eastAsia="zh-CN"/>
        </w:rPr>
        <w:t>条件</w:t>
      </w: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 xml:space="preserve"> </w:t>
      </w:r>
    </w:p>
    <w:p w14:paraId="508730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1. 拥护本协会章程，自愿加入本协会，自愿接受协会管理与自律约束。</w:t>
      </w:r>
    </w:p>
    <w:p w14:paraId="5F9826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2. 年满18周岁、具有完全民事行为能力的中华人民共和国公民；16–18周岁以本人劳动收入为主要生活来源者可申请；未满16周岁须监护人书面同意方可入会。</w:t>
      </w:r>
    </w:p>
    <w:p w14:paraId="1704F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3. 热爱电子竞技体育运动、电竞文化、电竞产业，遵纪守法，无违法犯罪记录、无行业失信黑名单、无电竞赛事违规处罚记录。</w:t>
      </w:r>
    </w:p>
    <w:p w14:paraId="110670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4. 认同全民健身、数字体育发展理念，愿意自觉维护电竞行业正面形象。</w:t>
      </w:r>
    </w:p>
    <w:p w14:paraId="7B6BB6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第二条 入会流程</w:t>
      </w:r>
    </w:p>
    <w:p w14:paraId="107026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1. 提交《个人会员入会申请表》。</w:t>
      </w:r>
    </w:p>
    <w:p w14:paraId="61DE5B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2. 协会秘书处进行资格初审。</w:t>
      </w:r>
    </w:p>
    <w:p w14:paraId="117CE4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3. 审核通过后登记入会员名册。</w:t>
      </w:r>
    </w:p>
    <w:p w14:paraId="47638A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4. 完成备案，授予正式个人会员资格、录入会员系统。</w:t>
      </w:r>
    </w:p>
    <w:p w14:paraId="528603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 xml:space="preserve"> </w:t>
      </w:r>
    </w:p>
    <w:p w14:paraId="3E07FD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第三条 会员权利</w:t>
      </w:r>
    </w:p>
    <w:p w14:paraId="42C658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1.  免费或优先参与本会主办、承办的赛事、培训、论坛、交流活动。</w:t>
      </w:r>
    </w:p>
    <w:p w14:paraId="348E23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. 优先享受电竞技能培训、裁判员培训、教练员培训、行业资讯、行业资源对接服务。</w:t>
      </w:r>
    </w:p>
    <w:p w14:paraId="6B5666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. 可报名协会战队选拔、赛事执裁、活动志愿工作，可申请协会各类荣誉评选。</w:t>
      </w:r>
    </w:p>
    <w:p w14:paraId="5182E1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. 享有协会提供的行业证明、参赛证明、活动认证等服务。</w:t>
      </w:r>
    </w:p>
    <w:p w14:paraId="3F4D32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第四条 会员义务</w:t>
      </w:r>
    </w:p>
    <w:p w14:paraId="60513E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1. 遵守协会章程、本细则及协会各项管理制度。</w:t>
      </w:r>
    </w:p>
    <w:p w14:paraId="205870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2. 积极支持、参与协会合法合规活动。</w:t>
      </w:r>
    </w:p>
    <w:p w14:paraId="1435CD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3. 自觉弘扬绿色电竞、文明竞技，抵制电竞乱象与违法行为。</w:t>
      </w:r>
    </w:p>
    <w:p w14:paraId="66152F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4. 维护本协会声誉，不得利用协会名义从事非法盈利、违规商业活动。</w:t>
      </w:r>
    </w:p>
    <w:p w14:paraId="6AC134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5. 配合协会年度信息登记、年审、数据统计工作。</w:t>
      </w:r>
    </w:p>
    <w:p w14:paraId="106E55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第五条 管理与退出</w:t>
      </w:r>
    </w:p>
    <w:p w14:paraId="7571A0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1. 实行年度会员年审制度。</w:t>
      </w:r>
    </w:p>
    <w:p w14:paraId="79195F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2. 个人存在违法违纪、行业违规、严重损害协会声誉行为，协会有权予以除名、公示。</w:t>
      </w:r>
    </w:p>
    <w:p w14:paraId="59E79E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3. 会员可自愿提交书面退会申请，秘书处审核后注销会员资格。</w:t>
      </w:r>
    </w:p>
    <w:p w14:paraId="219595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0"/>
          <w:sz w:val="32"/>
          <w:szCs w:val="32"/>
        </w:rPr>
        <w:t>第三章 单位会员（企事业单位、机构、团体）</w:t>
      </w:r>
    </w:p>
    <w:p w14:paraId="29D3DF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第一条 入会条件</w:t>
      </w:r>
    </w:p>
    <w:p w14:paraId="0D04F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1. 依法在国内登记注册、合法经营的企业、文体机构、培训单位、传媒公司、体育组织、社会团体及相关机构。</w:t>
      </w:r>
    </w:p>
    <w:p w14:paraId="2F1FD9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2. 拥护本协会章程，自愿成为协会单位会员，愿意配合协会开展电竞普及、赛事举办、行业自律、产业推广工作。</w:t>
      </w:r>
    </w:p>
    <w:p w14:paraId="725370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3. 经营状态正常，无失信被执行人记录、无重大违法行政处罚、无电竞行业违规经营记录。</w:t>
      </w:r>
    </w:p>
    <w:p w14:paraId="1F1001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4. 具备独立法人资格，有固定经营地址、固定联系人，能够履行单位会员义务。</w:t>
      </w:r>
    </w:p>
    <w:p w14:paraId="0DBC7B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第二条 入会范围</w:t>
      </w:r>
    </w:p>
    <w:p w14:paraId="7DD09D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 xml:space="preserve"> 电竞俱乐部、文化传媒公司、体育科技企业、电竞教育机构、文体培训机构、互联网企业、赛事运营公司、行业相关社会组织、地方电竞团体等。</w:t>
      </w:r>
    </w:p>
    <w:p w14:paraId="0B4459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第三条 入会流程</w:t>
      </w:r>
    </w:p>
    <w:p w14:paraId="5A6BA0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1. 提交《单位会员入会申请表》、营业执照、法人身份证明、机构简介、联络人信息。</w:t>
      </w:r>
    </w:p>
    <w:p w14:paraId="3F8DE3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2. 协会秘书处、理事会联合资质审核、实地核查（如需）。</w:t>
      </w:r>
    </w:p>
    <w:p w14:paraId="031CCF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3. 审核通过后公示3个工作日。</w:t>
      </w:r>
    </w:p>
    <w:p w14:paraId="7D5756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4. 公示无异议，录入单位会员名册，正式备案。</w:t>
      </w:r>
    </w:p>
    <w:p w14:paraId="0F7D34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第四条 会员权利</w:t>
      </w:r>
    </w:p>
    <w:p w14:paraId="2CF58E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1. 可使用本协会合作单位、会员单位名义开展合规电竞文体活动。</w:t>
      </w:r>
    </w:p>
    <w:p w14:paraId="6D5AC5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2. 优先获得协会赛事授权、活动合作、行业资源对接、行业背书支持。</w:t>
      </w:r>
    </w:p>
    <w:p w14:paraId="567CC0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3. 可联合主办、承办、协办各级电竞赛事、行业论坛、公益普及活动。</w:t>
      </w:r>
    </w:p>
    <w:p w14:paraId="4FCAE7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4. 优先参与协会行业标准研讨、行业自律建设、评优评先。</w:t>
      </w:r>
    </w:p>
    <w:p w14:paraId="3A93DA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5. 享有单位会员专属宣传、展示、行业推介权益。</w:t>
      </w:r>
    </w:p>
    <w:p w14:paraId="41B415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第五条 会员义务</w:t>
      </w:r>
    </w:p>
    <w:p w14:paraId="72EE69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1. 严格依法经营，自觉遵守电竞行业自律规范，杜绝违规办赛、虚假宣传、电竞博彩、违规培训等行为。</w:t>
      </w:r>
    </w:p>
    <w:p w14:paraId="1CD89C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2. 主动配合协会行业管理、年审统计、赛事规范整改工作。</w:t>
      </w:r>
    </w:p>
    <w:p w14:paraId="69A478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3. 积极参与协会组织的行业公益、电竞普及、全民健身数字体育推广活动。</w:t>
      </w:r>
    </w:p>
    <w:p w14:paraId="6358C8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4. 自觉维护协会公信力与行业形象。</w:t>
      </w:r>
    </w:p>
    <w:p w14:paraId="5E94E8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5. 单位变更名称、地址、法人、联系人需及时向协会报备。</w:t>
      </w:r>
    </w:p>
    <w:p w14:paraId="015648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第六条 管理与退出</w:t>
      </w:r>
    </w:p>
    <w:p w14:paraId="6BBD97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1. 单位会员实行年度资质年审，年审不合格予以整改，逾期未整改取消会员资格。</w:t>
      </w:r>
    </w:p>
    <w:p w14:paraId="0C629D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2. 存在违法经营、赛事舞弊、行业严重违规、损害协会名誉的，直接除名并行业公示。</w:t>
      </w:r>
    </w:p>
    <w:p w14:paraId="4817FF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3. 单位可自愿申请退会，提交书面申请，理事会审批后注销会员资质。</w:t>
      </w:r>
    </w:p>
    <w:p w14:paraId="212111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0"/>
          <w:sz w:val="32"/>
          <w:szCs w:val="32"/>
        </w:rPr>
        <w:t>第四章  通用规定与附则</w:t>
      </w:r>
    </w:p>
    <w:p w14:paraId="133C74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第一条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 xml:space="preserve"> 本会各类会员入会坚持自愿申请、审核准入、规范管理、动态退出原则，不强制入会。</w:t>
      </w:r>
    </w:p>
    <w:p w14:paraId="0CB224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第二条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 xml:space="preserve"> 会员信息由协会秘书处统一建档、专人保管，依法保护个人及单位隐私信息。</w:t>
      </w:r>
    </w:p>
    <w:p w14:paraId="39A813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条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 xml:space="preserve"> 本协会所有会员不得假借协会名义开展赌博、私赛、代练、违规培训、非法集资、商业诈骗等违法活动，一经发现立即除名并移交有关部门处理。</w:t>
      </w:r>
    </w:p>
    <w:p w14:paraId="321BBA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条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 xml:space="preserve"> 本细则面向全社会公开公示，接受社会监督。</w:t>
      </w:r>
    </w:p>
    <w:p w14:paraId="7C7423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</w:rPr>
        <w:t>条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 xml:space="preserve"> 本细则最终解释权归本电子竞技协会所有，自发布之日起正式施行。</w:t>
      </w:r>
    </w:p>
    <w:p w14:paraId="49CE8F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</w:p>
    <w:p w14:paraId="711EA4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</w:p>
    <w:p w14:paraId="2401E4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4800" w:firstLineChars="15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吉林省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电子竞技协会</w:t>
      </w:r>
    </w:p>
    <w:p w14:paraId="63A50E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5120" w:firstLineChars="16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</w:rPr>
        <w:t>日</w:t>
      </w:r>
    </w:p>
    <w:sectPr>
      <w:footerReference r:id="rId3" w:type="default"/>
      <w:pgSz w:w="11906" w:h="16838"/>
      <w:pgMar w:top="1984" w:right="1417" w:bottom="1417" w:left="1417" w:header="851" w:footer="1106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8885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F24A16">
                          <w:pPr>
                            <w:pStyle w:val="4"/>
                            <w:rPr>
                              <w:color w:val="auto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F24A16">
                    <w:pPr>
                      <w:pStyle w:val="4"/>
                      <w:rPr>
                        <w:color w:val="auto"/>
                        <w:sz w:val="28"/>
                        <w:szCs w:val="4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yYTA4MDRjNDVhNDAzODAyYWM1NDhkN2UxYjA5NjMifQ=="/>
  </w:docVars>
  <w:rsids>
    <w:rsidRoot w:val="00000000"/>
    <w:rsid w:val="01F55ADD"/>
    <w:rsid w:val="04D94B9F"/>
    <w:rsid w:val="056A6ABC"/>
    <w:rsid w:val="0CC944F7"/>
    <w:rsid w:val="0CED598B"/>
    <w:rsid w:val="0ECE5049"/>
    <w:rsid w:val="11B96873"/>
    <w:rsid w:val="14262E9B"/>
    <w:rsid w:val="15315636"/>
    <w:rsid w:val="153C1BE7"/>
    <w:rsid w:val="197A6E4E"/>
    <w:rsid w:val="1B05655B"/>
    <w:rsid w:val="1D5C7CC4"/>
    <w:rsid w:val="1FB0418D"/>
    <w:rsid w:val="215A409A"/>
    <w:rsid w:val="27A00F24"/>
    <w:rsid w:val="27AC6CA1"/>
    <w:rsid w:val="2A353DEB"/>
    <w:rsid w:val="2BD81014"/>
    <w:rsid w:val="2C753B81"/>
    <w:rsid w:val="2E196405"/>
    <w:rsid w:val="313905F0"/>
    <w:rsid w:val="387719FE"/>
    <w:rsid w:val="3F242E3D"/>
    <w:rsid w:val="3F6E6DC9"/>
    <w:rsid w:val="40EB571A"/>
    <w:rsid w:val="43B2147C"/>
    <w:rsid w:val="46A9731E"/>
    <w:rsid w:val="48DA400F"/>
    <w:rsid w:val="49C96294"/>
    <w:rsid w:val="49CD672C"/>
    <w:rsid w:val="4A0110C5"/>
    <w:rsid w:val="4A7A76BE"/>
    <w:rsid w:val="509224B5"/>
    <w:rsid w:val="51987F94"/>
    <w:rsid w:val="528A1F25"/>
    <w:rsid w:val="54FF32C0"/>
    <w:rsid w:val="57227D18"/>
    <w:rsid w:val="5E765AB3"/>
    <w:rsid w:val="5E7F6E56"/>
    <w:rsid w:val="6085005A"/>
    <w:rsid w:val="622D4BD7"/>
    <w:rsid w:val="655D3BA6"/>
    <w:rsid w:val="699140AA"/>
    <w:rsid w:val="6B6943A8"/>
    <w:rsid w:val="6B73781F"/>
    <w:rsid w:val="6DE50BDD"/>
    <w:rsid w:val="72916989"/>
    <w:rsid w:val="735B02DF"/>
    <w:rsid w:val="73A83250"/>
    <w:rsid w:val="73BA391A"/>
    <w:rsid w:val="75E71C79"/>
    <w:rsid w:val="76DE4A7D"/>
    <w:rsid w:val="77AF76A8"/>
    <w:rsid w:val="77D54030"/>
    <w:rsid w:val="7E002EC9"/>
    <w:rsid w:val="FEDD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after="120"/>
    </w:pPr>
    <w:rPr>
      <w:rFonts w:cs="黑体"/>
      <w:szCs w:val="24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autoRedefine/>
    <w:qFormat/>
    <w:uiPriority w:val="0"/>
    <w:pPr>
      <w:snapToGrid w:val="0"/>
      <w:jc w:val="left"/>
    </w:p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autoRedefine/>
    <w:qFormat/>
    <w:uiPriority w:val="0"/>
    <w:rPr>
      <w:b/>
    </w:rPr>
  </w:style>
  <w:style w:type="paragraph" w:customStyle="1" w:styleId="11">
    <w:name w:val="纯文本1"/>
    <w:autoRedefine/>
    <w:qFormat/>
    <w:uiPriority w:val="99"/>
    <w:rPr>
      <w:rFonts w:ascii="宋体" w:hAnsi="Courier New" w:eastAsia="宋体" w:cs="Courier New"/>
      <w:szCs w:val="21"/>
    </w:rPr>
  </w:style>
  <w:style w:type="paragraph" w:customStyle="1" w:styleId="12">
    <w:name w:val="正文 New New New"/>
    <w:autoRedefine/>
    <w:qFormat/>
    <w:uiPriority w:val="0"/>
    <w:pPr>
      <w:widowControl w:val="0"/>
      <w:jc w:val="both"/>
    </w:pPr>
    <w:rPr>
      <w:rFonts w:ascii="等线" w:hAnsi="等线" w:eastAsia="等线" w:cs="黑体"/>
      <w:kern w:val="2"/>
      <w:sz w:val="32"/>
      <w:szCs w:val="22"/>
      <w:lang w:val="en-US" w:eastAsia="zh-CN"/>
    </w:rPr>
  </w:style>
  <w:style w:type="paragraph" w:customStyle="1" w:styleId="13">
    <w:name w:val="正文 New New New New New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4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2744</Words>
  <Characters>2814</Characters>
  <Lines>0</Lines>
  <Paragraphs>0</Paragraphs>
  <TotalTime>59</TotalTime>
  <ScaleCrop>false</ScaleCrop>
  <LinksUpToDate>false</LinksUpToDate>
  <CharactersWithSpaces>2911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2023-12-26T16:24:00Z</dcterms:created>
  <dc:creator>Administrator</dc:creator>
  <cp:lastModifiedBy>王宇</cp:lastModifiedBy>
  <cp:lastPrinted>2023-12-27T17:38:00Z</cp:lastPrinted>
  <dcterms:modified xsi:type="dcterms:W3CDTF">2026-08-25T08:06:33Z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3C1EC5E0B84948C296316C696AF0F415_13</vt:lpwstr>
  </property>
  <property fmtid="{D5CDD505-2E9C-101B-9397-08002B2CF9AE}" pid="4" name="KSOTemplateDocerSaveRecord">
    <vt:lpwstr>eyJoZGlkIjoiOGNhZjUxMDBjMmYwNGNlYmUwODRiZDI4ZjYwMmVlMTMiLCJ1c2VySWQiOiI4OTM0MTY3MDEifQ==</vt:lpwstr>
  </property>
</Properties>
</file>